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44ECA" w14:textId="77777777" w:rsidR="005548F2" w:rsidRPr="00386B78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86B78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386B78">
        <w:rPr>
          <w:rFonts w:ascii="Arial" w:hAnsi="Arial" w:cs="Arial"/>
          <w:b/>
          <w:sz w:val="20"/>
          <w:szCs w:val="20"/>
        </w:rPr>
        <w:t>10</w:t>
      </w:r>
      <w:r w:rsidRPr="00386B78">
        <w:rPr>
          <w:rFonts w:ascii="Arial" w:hAnsi="Arial" w:cs="Arial"/>
          <w:b/>
          <w:sz w:val="20"/>
          <w:szCs w:val="20"/>
        </w:rPr>
        <w:t xml:space="preserve"> </w:t>
      </w:r>
    </w:p>
    <w:p w14:paraId="51FF73A6" w14:textId="77777777" w:rsidR="005548F2" w:rsidRPr="00386B78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386B7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0048018" w14:textId="77777777" w:rsidR="005548F2" w:rsidRPr="00386B78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386B78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386B78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386B78">
        <w:rPr>
          <w:rFonts w:ascii="Arial" w:hAnsi="Arial" w:cs="Arial"/>
          <w:b/>
          <w:sz w:val="20"/>
          <w:szCs w:val="20"/>
        </w:rPr>
        <w:t xml:space="preserve">kwietnia </w:t>
      </w:r>
      <w:r w:rsidRPr="00386B78">
        <w:rPr>
          <w:rFonts w:ascii="Arial" w:hAnsi="Arial" w:cs="Arial"/>
          <w:b/>
          <w:sz w:val="20"/>
          <w:szCs w:val="20"/>
        </w:rPr>
        <w:t>20</w:t>
      </w:r>
      <w:r w:rsidR="00B5532F" w:rsidRPr="00386B78">
        <w:rPr>
          <w:rFonts w:ascii="Arial" w:hAnsi="Arial" w:cs="Arial"/>
          <w:b/>
          <w:sz w:val="20"/>
          <w:szCs w:val="20"/>
        </w:rPr>
        <w:t>20</w:t>
      </w:r>
      <w:r w:rsidRPr="00386B78">
        <w:rPr>
          <w:rFonts w:ascii="Arial" w:hAnsi="Arial" w:cs="Arial"/>
          <w:b/>
          <w:sz w:val="20"/>
          <w:szCs w:val="20"/>
        </w:rPr>
        <w:t xml:space="preserve"> r.  </w:t>
      </w:r>
    </w:p>
    <w:p w14:paraId="57B2FBEC" w14:textId="77777777" w:rsidR="005548F2" w:rsidRPr="00386B7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8777976" w14:textId="77777777" w:rsidR="008A332F" w:rsidRPr="00386B78" w:rsidRDefault="00B378F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6B78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386B78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A7B467B" w14:textId="0C927606" w:rsidR="008C6721" w:rsidRPr="00386B78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86B7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0D78" w:rsidRPr="00386B78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386B7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E3969" w:rsidRPr="00386B78">
        <w:rPr>
          <w:rFonts w:ascii="Arial" w:hAnsi="Arial" w:cs="Arial"/>
          <w:b/>
          <w:color w:val="auto"/>
          <w:sz w:val="24"/>
          <w:szCs w:val="24"/>
        </w:rPr>
        <w:t>202</w:t>
      </w:r>
      <w:r w:rsidR="00826C7B" w:rsidRPr="00386B78">
        <w:rPr>
          <w:rFonts w:ascii="Arial" w:hAnsi="Arial" w:cs="Arial"/>
          <w:b/>
          <w:color w:val="auto"/>
          <w:sz w:val="24"/>
          <w:szCs w:val="24"/>
        </w:rPr>
        <w:t>1</w:t>
      </w:r>
      <w:r w:rsidR="006E3969" w:rsidRPr="00386B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86B7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4BD9BE" w14:textId="77777777" w:rsidR="008A332F" w:rsidRPr="00386B78" w:rsidRDefault="003C7325" w:rsidP="003642B8">
      <w:pPr>
        <w:spacing w:after="360"/>
        <w:jc w:val="center"/>
        <w:rPr>
          <w:rFonts w:ascii="Arial" w:hAnsi="Arial" w:cs="Arial"/>
        </w:rPr>
      </w:pPr>
      <w:r w:rsidRPr="00386B78">
        <w:rPr>
          <w:rFonts w:ascii="Arial" w:hAnsi="Arial" w:cs="Arial"/>
        </w:rPr>
        <w:t xml:space="preserve">(dane należy wskazać w </w:t>
      </w:r>
      <w:r w:rsidR="00304D04" w:rsidRPr="00386B78">
        <w:rPr>
          <w:rFonts w:ascii="Arial" w:hAnsi="Arial" w:cs="Arial"/>
        </w:rPr>
        <w:t xml:space="preserve">zakresie </w:t>
      </w:r>
      <w:r w:rsidR="00F2008A" w:rsidRPr="00386B78">
        <w:rPr>
          <w:rFonts w:ascii="Arial" w:hAnsi="Arial" w:cs="Arial"/>
        </w:rPr>
        <w:t xml:space="preserve">odnoszącym się do </w:t>
      </w:r>
      <w:r w:rsidR="00304D04" w:rsidRPr="00386B78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86B78" w:rsidRPr="00386B78" w14:paraId="32CDBB9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ED0791" w14:textId="77777777" w:rsidR="00CA516B" w:rsidRPr="00386B7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386B7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832B1" w14:textId="77777777" w:rsidR="00CA516B" w:rsidRPr="00386B78" w:rsidRDefault="006E396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386B78">
              <w:rPr>
                <w:rFonts w:ascii="Arial" w:hAnsi="Arial" w:cs="Arial"/>
                <w:sz w:val="20"/>
              </w:rPr>
              <w:t>System Informacyjny o Instalacjach wytwarzających Promieniowanie ElektroMagnetyczne (SI2PEM)</w:t>
            </w:r>
          </w:p>
        </w:tc>
      </w:tr>
      <w:tr w:rsidR="00386B78" w:rsidRPr="00386B78" w14:paraId="62CE3E0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A28379" w14:textId="77777777" w:rsidR="00CA516B" w:rsidRPr="00386B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9A76DA" w14:textId="77777777" w:rsidR="00CA516B" w:rsidRPr="00386B78" w:rsidRDefault="006E396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386B78" w:rsidRPr="00386B78" w14:paraId="30BC6E9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2E21D5" w14:textId="77777777" w:rsidR="006E3969" w:rsidRPr="00386B7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49DF5" w14:textId="77777777" w:rsidR="006E3969" w:rsidRPr="00386B78" w:rsidRDefault="006E39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Instytut Łączności – Państwowy Instytut Badawczy </w:t>
            </w:r>
          </w:p>
        </w:tc>
      </w:tr>
      <w:tr w:rsidR="00386B78" w:rsidRPr="00386B78" w14:paraId="20143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EC2FC3" w14:textId="77777777" w:rsidR="006E3969" w:rsidRPr="00386B7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1248E" w14:textId="4B69DA8E" w:rsidR="006E3969" w:rsidRPr="00386B78" w:rsidRDefault="00AE606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</w:p>
        </w:tc>
      </w:tr>
      <w:tr w:rsidR="00386B78" w:rsidRPr="00386B78" w14:paraId="628DB37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AE6422" w14:textId="77777777" w:rsidR="006E3969" w:rsidRPr="00386B7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434F5" w14:textId="77777777" w:rsidR="006E3969" w:rsidRPr="00386B78" w:rsidRDefault="006E3969" w:rsidP="00640F3A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</w:rPr>
              <w:t xml:space="preserve">Działanie 2.1 „Wysoka dostępność i jakość e-usług publicznych” w ramach II osi priorytetowej „E-administracja i otwarty rząd” </w:t>
            </w:r>
            <w:r w:rsidR="00035276" w:rsidRPr="00386B78">
              <w:rPr>
                <w:rFonts w:ascii="Arial" w:hAnsi="Arial" w:cs="Arial"/>
                <w:sz w:val="20"/>
              </w:rPr>
              <w:br/>
            </w:r>
            <w:r w:rsidRPr="00386B78">
              <w:rPr>
                <w:rFonts w:ascii="Arial" w:hAnsi="Arial" w:cs="Arial"/>
                <w:sz w:val="20"/>
              </w:rPr>
              <w:t>Programu Operacyjnego Polska Cyfrowa</w:t>
            </w:r>
          </w:p>
          <w:p w14:paraId="4EB07538" w14:textId="77777777" w:rsidR="006E3969" w:rsidRPr="00386B78" w:rsidRDefault="006E396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Budżet Państwa (Ministerstwo Cyfryzacji, część 27 budżetu państwa)</w:t>
            </w:r>
          </w:p>
        </w:tc>
      </w:tr>
      <w:tr w:rsidR="00386B78" w:rsidRPr="00386B78" w14:paraId="7958EF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BD3EB" w14:textId="77777777" w:rsidR="006E3969" w:rsidRPr="00386B78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96DD4D5" w14:textId="77777777" w:rsidR="006E3969" w:rsidRPr="00386B7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ACFF6" w14:textId="77777777" w:rsidR="006E3969" w:rsidRPr="00386B78" w:rsidRDefault="006E39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386B78" w:rsidRPr="00386B78" w14:paraId="1526B48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E41C00" w14:textId="77777777" w:rsidR="006E3969" w:rsidRPr="00386B78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31C05" w14:textId="77777777" w:rsidR="006E3969" w:rsidRPr="00386B78" w:rsidRDefault="006E39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386B78" w:rsidRPr="00386B78" w14:paraId="59A19D5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E74D53" w14:textId="77777777" w:rsidR="006E3969" w:rsidRPr="00386B78" w:rsidRDefault="006E3969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2C8E0CD2" w14:textId="77777777" w:rsidR="006E3969" w:rsidRPr="00386B7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86B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E9972" w14:textId="7ED7CEF7" w:rsidR="006E3969" w:rsidRPr="00386B78" w:rsidRDefault="006E3969" w:rsidP="00826C7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25.02.2019 – </w:t>
            </w:r>
            <w:r w:rsidR="00826C7B" w:rsidRPr="00386B78">
              <w:rPr>
                <w:rFonts w:ascii="Arial" w:hAnsi="Arial" w:cs="Arial"/>
                <w:sz w:val="20"/>
                <w:szCs w:val="20"/>
              </w:rPr>
              <w:t>30.07.</w:t>
            </w:r>
            <w:r w:rsidR="00F5222C" w:rsidRPr="00386B78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</w:tbl>
    <w:p w14:paraId="281E77F6" w14:textId="77777777" w:rsidR="00CA516B" w:rsidRPr="00386B7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386B78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386B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386B7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3ECF248" w14:textId="77777777" w:rsidR="006E3969" w:rsidRPr="00386B78" w:rsidRDefault="006E3969" w:rsidP="00FC78B9">
      <w:pPr>
        <w:spacing w:before="240" w:after="120"/>
        <w:jc w:val="both"/>
        <w:rPr>
          <w:rFonts w:ascii="Arial" w:hAnsi="Arial" w:cs="Arial"/>
        </w:rPr>
      </w:pPr>
      <w:r w:rsidRPr="00386B78">
        <w:rPr>
          <w:rFonts w:ascii="Arial" w:hAnsi="Arial" w:cs="Arial"/>
        </w:rPr>
        <w:t xml:space="preserve">Zgodnie z założeniami projektu oraz wnioskiem o dofinansowanie i jego załącznikiem </w:t>
      </w:r>
      <w:r w:rsidR="00E43F79" w:rsidRPr="00386B78">
        <w:rPr>
          <w:rFonts w:ascii="Arial" w:hAnsi="Arial" w:cs="Arial"/>
        </w:rPr>
        <w:br/>
      </w:r>
      <w:r w:rsidRPr="00386B78">
        <w:rPr>
          <w:rFonts w:ascii="Arial" w:hAnsi="Arial" w:cs="Arial"/>
        </w:rPr>
        <w:t>Studium Wykonalności</w:t>
      </w:r>
      <w:r w:rsidR="00FC78B9" w:rsidRPr="00386B78">
        <w:rPr>
          <w:rFonts w:ascii="Arial" w:hAnsi="Arial" w:cs="Arial"/>
        </w:rPr>
        <w:t>,</w:t>
      </w:r>
      <w:r w:rsidRPr="00386B78">
        <w:rPr>
          <w:rFonts w:ascii="Arial" w:hAnsi="Arial" w:cs="Arial"/>
        </w:rPr>
        <w:t xml:space="preserve"> nie jest wymagane wprowadzanie regulacji prawnych niezbędnych do wdrożenia produktów projektu. </w:t>
      </w:r>
    </w:p>
    <w:p w14:paraId="24178CCC" w14:textId="77777777" w:rsidR="004C1D48" w:rsidRPr="00386B7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14:paraId="36814361" w14:textId="77777777" w:rsidR="003C7325" w:rsidRPr="00386B7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86B7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86B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86B7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386B78" w:rsidRPr="00386B78" w14:paraId="4F5F7F93" w14:textId="77777777" w:rsidTr="006E3969">
        <w:trPr>
          <w:trHeight w:val="20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802AED7" w14:textId="77777777" w:rsidR="00907F6D" w:rsidRPr="00386B7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FA3656" w14:textId="77777777" w:rsidR="00907F6D" w:rsidRPr="00386B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F035EFA" w14:textId="77777777" w:rsidR="00907F6D" w:rsidRPr="00386B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386B78" w14:paraId="5E69388A" w14:textId="77777777" w:rsidTr="00795AFA">
        <w:tc>
          <w:tcPr>
            <w:tcW w:w="2972" w:type="dxa"/>
          </w:tcPr>
          <w:p w14:paraId="1DAE13AE" w14:textId="20D76E95" w:rsidR="00907F6D" w:rsidRPr="00386B78" w:rsidRDefault="004F19BE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  <w:tc>
          <w:tcPr>
            <w:tcW w:w="3260" w:type="dxa"/>
          </w:tcPr>
          <w:p w14:paraId="3A35B58E" w14:textId="5E98AB97" w:rsidR="006948D3" w:rsidRPr="00386B78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F19BE" w:rsidRPr="00386B78">
              <w:rPr>
                <w:rFonts w:ascii="Arial" w:hAnsi="Arial" w:cs="Arial"/>
                <w:sz w:val="20"/>
                <w:szCs w:val="20"/>
              </w:rPr>
              <w:t>86%</w:t>
            </w:r>
          </w:p>
          <w:p w14:paraId="3982DD08" w14:textId="77777777" w:rsidR="00071880" w:rsidRPr="00386B78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64A94" w14:textId="6384A409" w:rsidR="00071880" w:rsidRPr="00386B78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F19BE" w:rsidRPr="00386B78">
              <w:rPr>
                <w:rFonts w:ascii="Arial" w:hAnsi="Arial" w:cs="Arial"/>
                <w:sz w:val="20"/>
                <w:szCs w:val="20"/>
              </w:rPr>
              <w:t>66%</w:t>
            </w:r>
          </w:p>
          <w:p w14:paraId="2B480554" w14:textId="77777777" w:rsidR="006948D3" w:rsidRPr="00386B78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14135" w14:textId="77777777" w:rsidR="00907F6D" w:rsidRPr="00386B78" w:rsidRDefault="005548F2" w:rsidP="00D82EE4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D82EE4" w:rsidRPr="00386B7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1C2F51FE" w14:textId="6B7538AF" w:rsidR="00907F6D" w:rsidRPr="00386B78" w:rsidRDefault="004F19BE" w:rsidP="00795AFA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1. 86%</w:t>
            </w:r>
          </w:p>
        </w:tc>
      </w:tr>
    </w:tbl>
    <w:p w14:paraId="05AAF9FA" w14:textId="77777777" w:rsidR="002B50C0" w:rsidRPr="00386B7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B449842" w14:textId="77777777" w:rsidR="00E43F79" w:rsidRPr="00386B78" w:rsidRDefault="00E43F79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86B78"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6191C470" w14:textId="77777777" w:rsidR="00E42938" w:rsidRPr="00386B7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386B78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386B7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386B78">
        <w:rPr>
          <w:rFonts w:ascii="Arial" w:hAnsi="Arial" w:cs="Arial"/>
          <w:color w:val="auto"/>
        </w:rPr>
        <w:t xml:space="preserve"> </w:t>
      </w:r>
    </w:p>
    <w:p w14:paraId="3029D9D3" w14:textId="19152D42" w:rsidR="00CF2E64" w:rsidRPr="00386B78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386B78">
        <w:rPr>
          <w:rFonts w:ascii="Arial" w:hAnsi="Arial" w:cs="Arial"/>
          <w:b/>
          <w:sz w:val="20"/>
          <w:szCs w:val="20"/>
        </w:rPr>
        <w:t>Kamienie milowe</w:t>
      </w:r>
      <w:r w:rsidR="00AF7AF6" w:rsidRPr="00386B78">
        <w:rPr>
          <w:rFonts w:ascii="Arial" w:hAnsi="Arial" w:cs="Arial"/>
          <w:b/>
          <w:sz w:val="20"/>
          <w:szCs w:val="20"/>
        </w:rPr>
        <w:t xml:space="preserve"> – daty osiągnięcia Kamieni milowych zmieniono na podstawie zawartego z dnia </w:t>
      </w:r>
      <w:r w:rsidR="00826C7B" w:rsidRPr="00386B78">
        <w:rPr>
          <w:rFonts w:ascii="Arial" w:hAnsi="Arial" w:cs="Arial"/>
          <w:b/>
          <w:sz w:val="20"/>
          <w:szCs w:val="20"/>
        </w:rPr>
        <w:t>29.01</w:t>
      </w:r>
      <w:r w:rsidR="00AF7AF6" w:rsidRPr="00386B78">
        <w:rPr>
          <w:rFonts w:ascii="Arial" w:hAnsi="Arial" w:cs="Arial"/>
          <w:b/>
          <w:sz w:val="20"/>
          <w:szCs w:val="20"/>
        </w:rPr>
        <w:t>.202</w:t>
      </w:r>
      <w:r w:rsidR="00826C7B" w:rsidRPr="00386B78">
        <w:rPr>
          <w:rFonts w:ascii="Arial" w:hAnsi="Arial" w:cs="Arial"/>
          <w:b/>
          <w:sz w:val="20"/>
          <w:szCs w:val="20"/>
        </w:rPr>
        <w:t>1</w:t>
      </w:r>
      <w:r w:rsidR="00AF7AF6" w:rsidRPr="00386B78">
        <w:rPr>
          <w:rFonts w:ascii="Arial" w:hAnsi="Arial" w:cs="Arial"/>
          <w:b/>
          <w:sz w:val="20"/>
          <w:szCs w:val="20"/>
        </w:rPr>
        <w:t xml:space="preserve"> Aneksu do umowy o dofinansowanie.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4"/>
        <w:gridCol w:w="1595"/>
        <w:gridCol w:w="1306"/>
        <w:gridCol w:w="1883"/>
        <w:gridCol w:w="2751"/>
      </w:tblGrid>
      <w:tr w:rsidR="00386B78" w:rsidRPr="00386B78" w14:paraId="0DEAB23B" w14:textId="77777777" w:rsidTr="00640F3A">
        <w:trPr>
          <w:tblHeader/>
        </w:trPr>
        <w:tc>
          <w:tcPr>
            <w:tcW w:w="2104" w:type="dxa"/>
            <w:shd w:val="clear" w:color="auto" w:fill="D0CECE" w:themeFill="background2" w:themeFillShade="E6"/>
          </w:tcPr>
          <w:p w14:paraId="50964506" w14:textId="77777777" w:rsidR="004350B8" w:rsidRPr="00386B7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FE2DB0F" w14:textId="77777777" w:rsidR="004350B8" w:rsidRPr="00386B7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386B7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386B7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CFAAD29" w14:textId="77777777" w:rsidR="004350B8" w:rsidRPr="00386B7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386B7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3" w:type="dxa"/>
            <w:shd w:val="clear" w:color="auto" w:fill="D0CECE" w:themeFill="background2" w:themeFillShade="E6"/>
          </w:tcPr>
          <w:p w14:paraId="27D1C826" w14:textId="77777777" w:rsidR="004350B8" w:rsidRPr="00386B7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386B7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51" w:type="dxa"/>
            <w:shd w:val="clear" w:color="auto" w:fill="D0CECE" w:themeFill="background2" w:themeFillShade="E6"/>
          </w:tcPr>
          <w:p w14:paraId="35F833DF" w14:textId="77777777" w:rsidR="004350B8" w:rsidRPr="00386B7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386B7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86B78" w:rsidRPr="00386B78" w14:paraId="09CDDFD5" w14:textId="77777777" w:rsidTr="00640F3A">
        <w:tc>
          <w:tcPr>
            <w:tcW w:w="2104" w:type="dxa"/>
          </w:tcPr>
          <w:p w14:paraId="7FC42818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Wymagania techniczne i projekt GUI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166F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5FC06196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726C9959" w14:textId="77777777" w:rsidR="006E3969" w:rsidRPr="00386B78" w:rsidRDefault="006E396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4B43CDB6" w14:textId="77777777" w:rsidR="006E3969" w:rsidRPr="00386B78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0337ABFE" w14:textId="77777777" w:rsidR="006E3969" w:rsidRPr="00386B78" w:rsidRDefault="006E3969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 w:rsidRPr="00386B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86B78" w:rsidRPr="00386B78" w14:paraId="6882D261" w14:textId="77777777" w:rsidTr="00640F3A">
        <w:tc>
          <w:tcPr>
            <w:tcW w:w="2104" w:type="dxa"/>
          </w:tcPr>
          <w:p w14:paraId="3A109678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Uzgodnione standardy i protokoły wymiany informacji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94AE2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476A8DBA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5DCBF94D" w14:textId="77777777" w:rsidR="006E3969" w:rsidRPr="00386B78" w:rsidRDefault="006E396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10.2019</w:t>
            </w:r>
          </w:p>
        </w:tc>
        <w:tc>
          <w:tcPr>
            <w:tcW w:w="2751" w:type="dxa"/>
          </w:tcPr>
          <w:p w14:paraId="7527EBEA" w14:textId="77777777" w:rsidR="006E3969" w:rsidRPr="00386B78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17927442" w14:textId="77777777" w:rsidR="006E3969" w:rsidRPr="00386B78" w:rsidRDefault="006E3969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 w:rsidRPr="00386B78">
              <w:rPr>
                <w:rFonts w:ascii="Arial" w:hAnsi="Arial" w:cs="Arial"/>
                <w:sz w:val="20"/>
                <w:szCs w:val="20"/>
              </w:rPr>
              <w:t>.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86B78" w:rsidRPr="00386B78" w14:paraId="0E43960B" w14:textId="77777777" w:rsidTr="00640F3A">
        <w:tc>
          <w:tcPr>
            <w:tcW w:w="2104" w:type="dxa"/>
          </w:tcPr>
          <w:p w14:paraId="7DCDBB3C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Udostępnienie pierwszej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F17E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50162FC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013F5330" w14:textId="77777777" w:rsidR="006E3969" w:rsidRPr="00386B78" w:rsidRDefault="006E396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756712A7" w14:textId="77777777" w:rsidR="006E3969" w:rsidRPr="00386B78" w:rsidRDefault="006E3969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 w:rsidRPr="00386B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86B78" w:rsidRPr="00386B78" w14:paraId="281E2804" w14:textId="77777777" w:rsidTr="00640F3A">
        <w:tc>
          <w:tcPr>
            <w:tcW w:w="2104" w:type="dxa"/>
          </w:tcPr>
          <w:p w14:paraId="51DFEF4C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Udostępnienie drugiej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2582" w14:textId="77777777" w:rsidR="006E3969" w:rsidRPr="00386B78" w:rsidRDefault="006E396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7C67991B" w14:textId="77777777" w:rsidR="006E3969" w:rsidRPr="00386B78" w:rsidRDefault="006E3969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</w:t>
            </w:r>
            <w:r w:rsidR="00F5222C" w:rsidRPr="00386B78">
              <w:rPr>
                <w:rFonts w:ascii="Arial" w:hAnsi="Arial" w:cs="Arial"/>
                <w:sz w:val="20"/>
                <w:szCs w:val="20"/>
              </w:rPr>
              <w:t>7</w:t>
            </w:r>
            <w:r w:rsidRPr="00386B78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2D699972" w14:textId="77777777" w:rsidR="006E3969" w:rsidRPr="00386B78" w:rsidRDefault="009110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47306EF9" w14:textId="77777777" w:rsidR="006E3969" w:rsidRPr="00386B78" w:rsidRDefault="009110EE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  <w:r w:rsidR="006E3969"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86B78" w:rsidRPr="00386B78" w14:paraId="75B1BA97" w14:textId="77777777" w:rsidTr="00640F3A">
        <w:trPr>
          <w:trHeight w:val="1031"/>
        </w:trPr>
        <w:tc>
          <w:tcPr>
            <w:tcW w:w="2104" w:type="dxa"/>
          </w:tcPr>
          <w:p w14:paraId="27F1E7F6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Udostępnienie trzeciej (końcowej) wersji systemu (zad.1)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9F4A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2A5781F9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10.2020</w:t>
            </w:r>
          </w:p>
        </w:tc>
        <w:tc>
          <w:tcPr>
            <w:tcW w:w="1883" w:type="dxa"/>
          </w:tcPr>
          <w:p w14:paraId="7A21E7BF" w14:textId="1C6F8C4A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751" w:type="dxa"/>
          </w:tcPr>
          <w:p w14:paraId="6DD73FA6" w14:textId="0A00ACAE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386B78" w:rsidRPr="00386B78" w14:paraId="68EE65B3" w14:textId="77777777" w:rsidTr="00640F3A">
        <w:tc>
          <w:tcPr>
            <w:tcW w:w="2104" w:type="dxa"/>
          </w:tcPr>
          <w:p w14:paraId="3E502A5E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Wymagania techniczne </w:t>
            </w:r>
            <w:r w:rsidRPr="00386B78">
              <w:rPr>
                <w:rFonts w:ascii="Arial" w:hAnsi="Arial" w:cs="Arial"/>
                <w:sz w:val="20"/>
                <w:szCs w:val="20"/>
              </w:rPr>
              <w:br/>
              <w:t>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2733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3CA9B34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6EB10543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1823C059" w14:textId="7777777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2E96C41D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386B78" w:rsidRPr="00386B78" w14:paraId="7A6E464D" w14:textId="77777777" w:rsidTr="00640F3A">
        <w:tc>
          <w:tcPr>
            <w:tcW w:w="2104" w:type="dxa"/>
          </w:tcPr>
          <w:p w14:paraId="1CC063B7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Uzgodnione interfejsy wymiany danych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153C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64169A6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767EF0C0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7EE6E1B8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386B78" w:rsidRPr="00386B78" w14:paraId="39A86FD1" w14:textId="77777777" w:rsidTr="00640F3A">
        <w:tc>
          <w:tcPr>
            <w:tcW w:w="2104" w:type="dxa"/>
          </w:tcPr>
          <w:p w14:paraId="738BFEEA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5C74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344ABB50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3200B87E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60B277BD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386B78" w:rsidRPr="00386B78" w14:paraId="5BC97592" w14:textId="77777777" w:rsidTr="00640F3A">
        <w:tc>
          <w:tcPr>
            <w:tcW w:w="2104" w:type="dxa"/>
          </w:tcPr>
          <w:p w14:paraId="0DD67CD2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3A3C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3EA079B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07.2020</w:t>
            </w:r>
          </w:p>
        </w:tc>
        <w:tc>
          <w:tcPr>
            <w:tcW w:w="1883" w:type="dxa"/>
          </w:tcPr>
          <w:p w14:paraId="0432B03C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3322DEC8" w14:textId="462CC5BA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386B78" w:rsidRPr="00386B78" w14:paraId="34C2E8D3" w14:textId="77777777" w:rsidTr="00640F3A">
        <w:tc>
          <w:tcPr>
            <w:tcW w:w="2104" w:type="dxa"/>
          </w:tcPr>
          <w:p w14:paraId="5AB056DA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9DA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B4C962C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10.2020</w:t>
            </w:r>
          </w:p>
        </w:tc>
        <w:tc>
          <w:tcPr>
            <w:tcW w:w="1883" w:type="dxa"/>
          </w:tcPr>
          <w:p w14:paraId="5429F7FD" w14:textId="0262AA06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751" w:type="dxa"/>
          </w:tcPr>
          <w:p w14:paraId="6238B69F" w14:textId="08156F2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386B78" w:rsidRPr="00386B78" w14:paraId="22397775" w14:textId="77777777" w:rsidTr="00640F3A">
        <w:tc>
          <w:tcPr>
            <w:tcW w:w="2104" w:type="dxa"/>
          </w:tcPr>
          <w:p w14:paraId="346AB22E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Wymagania przetargowe (zad. 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6C25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14:paraId="1B3BB4B0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883" w:type="dxa"/>
          </w:tcPr>
          <w:p w14:paraId="5C8F977B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0BB337D5" w14:textId="77777777" w:rsidR="00826C7B" w:rsidRPr="00386B78" w:rsidRDefault="00826C7B" w:rsidP="00826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75719A4D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386B78" w:rsidRPr="00386B78" w14:paraId="389DB1F1" w14:textId="77777777" w:rsidTr="00640F3A">
        <w:tc>
          <w:tcPr>
            <w:tcW w:w="2104" w:type="dxa"/>
          </w:tcPr>
          <w:p w14:paraId="11A8842C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3619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14:paraId="0F9F13B5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883" w:type="dxa"/>
          </w:tcPr>
          <w:p w14:paraId="64C3CA30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2751" w:type="dxa"/>
          </w:tcPr>
          <w:p w14:paraId="46307F8F" w14:textId="7777777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9A6EE9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Przetarg ogłoszony w grudniu 2019 r. został unieważniony. Jedyna oferta, która wpłynęła nie mogła zostać odszyfrowana i odczytana (z powodu zaszyfrowania oferty kluczem publicznym z innego postępowania – według opinii zespołu miniportalu UZP). Kolejny przetarg został ogłoszony 27.02.2020. Otwarcie ofert nastąpiło 02.04.2020. </w:t>
            </w: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Umowę z dostawcą podpisano 20.04.2020, a dostawa sprzętu nastąpiła z początkiem czerwca.</w:t>
            </w:r>
          </w:p>
        </w:tc>
      </w:tr>
      <w:tr w:rsidR="00386B78" w:rsidRPr="00386B78" w14:paraId="5871BC58" w14:textId="77777777" w:rsidTr="00640F3A">
        <w:tc>
          <w:tcPr>
            <w:tcW w:w="2104" w:type="dxa"/>
          </w:tcPr>
          <w:p w14:paraId="14C04777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Wdrożenie zakupionej infrastruktury i oprogramowania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5CB3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14:paraId="372B08E8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07.2020</w:t>
            </w:r>
          </w:p>
        </w:tc>
        <w:tc>
          <w:tcPr>
            <w:tcW w:w="1883" w:type="dxa"/>
          </w:tcPr>
          <w:p w14:paraId="090189DF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</w:rPr>
              <w:t>08.2020</w:t>
            </w:r>
          </w:p>
        </w:tc>
        <w:tc>
          <w:tcPr>
            <w:tcW w:w="2751" w:type="dxa"/>
          </w:tcPr>
          <w:p w14:paraId="1B12DE78" w14:textId="7777777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DED6CBF" w14:textId="7777777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Opóźnienie bezpośrednio związane z problemami przy realizacji zamówienia na „Dostawę i instalację infrastruktury sprzętowej”.</w:t>
            </w:r>
          </w:p>
        </w:tc>
      </w:tr>
      <w:tr w:rsidR="00386B78" w:rsidRPr="00386B78" w14:paraId="2C48937A" w14:textId="77777777" w:rsidTr="00640F3A">
        <w:tc>
          <w:tcPr>
            <w:tcW w:w="2104" w:type="dxa"/>
          </w:tcPr>
          <w:p w14:paraId="1E535775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Administracja i utrzymanie systemu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F506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3 – wartość docelowa 1 uruchomionych systemów</w:t>
            </w:r>
          </w:p>
        </w:tc>
        <w:tc>
          <w:tcPr>
            <w:tcW w:w="1306" w:type="dxa"/>
          </w:tcPr>
          <w:p w14:paraId="361AD8FF" w14:textId="6608B751" w:rsidR="00826C7B" w:rsidRPr="00386B78" w:rsidRDefault="00826C7B" w:rsidP="002356D0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</w:t>
            </w:r>
            <w:r w:rsidR="002356D0" w:rsidRPr="00386B78">
              <w:rPr>
                <w:rFonts w:ascii="Arial" w:hAnsi="Arial" w:cs="Arial"/>
                <w:sz w:val="20"/>
                <w:szCs w:val="20"/>
              </w:rPr>
              <w:t>7</w:t>
            </w:r>
            <w:r w:rsidRPr="00386B78">
              <w:rPr>
                <w:rFonts w:ascii="Arial" w:hAnsi="Arial" w:cs="Arial"/>
                <w:sz w:val="20"/>
                <w:szCs w:val="20"/>
              </w:rPr>
              <w:t>.2021</w:t>
            </w:r>
          </w:p>
        </w:tc>
        <w:tc>
          <w:tcPr>
            <w:tcW w:w="1883" w:type="dxa"/>
          </w:tcPr>
          <w:p w14:paraId="3F03852E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51" w:type="dxa"/>
          </w:tcPr>
          <w:p w14:paraId="051907B0" w14:textId="7777777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W realizacji. </w:t>
            </w:r>
          </w:p>
        </w:tc>
      </w:tr>
      <w:tr w:rsidR="00386B78" w:rsidRPr="00386B78" w14:paraId="16295A41" w14:textId="77777777" w:rsidTr="00640F3A">
        <w:tc>
          <w:tcPr>
            <w:tcW w:w="2104" w:type="dxa"/>
          </w:tcPr>
          <w:p w14:paraId="774E6D0F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ACC11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4 – wartość docelowa 250 przeszkolonych osób, </w:t>
            </w:r>
            <w:r w:rsidRPr="00386B78">
              <w:rPr>
                <w:rFonts w:ascii="Arial" w:hAnsi="Arial" w:cs="Arial"/>
                <w:sz w:val="20"/>
                <w:szCs w:val="20"/>
              </w:rPr>
              <w:br/>
              <w:t xml:space="preserve">5 – wartość docelowa 180 przeszkolonych kobiet, </w:t>
            </w:r>
            <w:r w:rsidRPr="00386B78">
              <w:rPr>
                <w:rFonts w:ascii="Arial" w:hAnsi="Arial" w:cs="Arial"/>
                <w:sz w:val="20"/>
                <w:szCs w:val="20"/>
              </w:rPr>
              <w:br/>
              <w:t>6 – wartość docelowa 70 przeszkolonych mężczyzn</w:t>
            </w:r>
          </w:p>
        </w:tc>
        <w:tc>
          <w:tcPr>
            <w:tcW w:w="1306" w:type="dxa"/>
          </w:tcPr>
          <w:p w14:paraId="17336625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883" w:type="dxa"/>
          </w:tcPr>
          <w:p w14:paraId="29E2553C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6AECB6AF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386B78" w:rsidRPr="00386B78" w14:paraId="793E0FC6" w14:textId="77777777" w:rsidTr="00640F3A">
        <w:tc>
          <w:tcPr>
            <w:tcW w:w="2104" w:type="dxa"/>
          </w:tcPr>
          <w:p w14:paraId="4B781AB2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iCs/>
                <w:sz w:val="20"/>
                <w:szCs w:val="20"/>
              </w:rPr>
              <w:t>Przygotowanie ekspozycji na Piknik Naukowy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0983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6AC12E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883" w:type="dxa"/>
          </w:tcPr>
          <w:p w14:paraId="3981CC57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2751" w:type="dxa"/>
          </w:tcPr>
          <w:p w14:paraId="4388FC26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</w:tc>
      </w:tr>
      <w:tr w:rsidR="00386B78" w:rsidRPr="00386B78" w14:paraId="7CA8C181" w14:textId="77777777" w:rsidTr="00640F3A">
        <w:tc>
          <w:tcPr>
            <w:tcW w:w="2104" w:type="dxa"/>
          </w:tcPr>
          <w:p w14:paraId="5CF01431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7FFC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4 – wartość docelowa 325 przeszkolonych osób  </w:t>
            </w:r>
            <w:r w:rsidRPr="00386B78">
              <w:rPr>
                <w:rFonts w:ascii="Arial" w:hAnsi="Arial" w:cs="Arial"/>
                <w:sz w:val="20"/>
                <w:szCs w:val="20"/>
              </w:rPr>
              <w:br/>
            </w: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 xml:space="preserve">5 – wartość docelowa 230 przeszkolonych kobiet </w:t>
            </w:r>
            <w:r w:rsidRPr="00386B78">
              <w:rPr>
                <w:rFonts w:ascii="Arial" w:hAnsi="Arial" w:cs="Arial"/>
                <w:sz w:val="20"/>
                <w:szCs w:val="20"/>
              </w:rPr>
              <w:br/>
              <w:t>6 – wartość docelowa 95 przeszkolonych mężczyzn</w:t>
            </w:r>
          </w:p>
        </w:tc>
        <w:tc>
          <w:tcPr>
            <w:tcW w:w="1306" w:type="dxa"/>
          </w:tcPr>
          <w:p w14:paraId="15919468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07.2020</w:t>
            </w:r>
          </w:p>
        </w:tc>
        <w:tc>
          <w:tcPr>
            <w:tcW w:w="1883" w:type="dxa"/>
          </w:tcPr>
          <w:p w14:paraId="0CF7138E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</w:rPr>
              <w:t>08.2020</w:t>
            </w:r>
          </w:p>
        </w:tc>
        <w:tc>
          <w:tcPr>
            <w:tcW w:w="2751" w:type="dxa"/>
          </w:tcPr>
          <w:p w14:paraId="7DB5EF48" w14:textId="7777777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7A9AAA8" w14:textId="7777777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Cykl 1 szkoleń, pod nazwą „Szkolenia SI2PEM” uruchomiony został na platformie e-learningowej Instytutu </w:t>
            </w: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 xml:space="preserve">Łączności – PIB. Szkolenia SI2PEM dostępne są tylko dla uprawnionych pracowników organów administracji </w:t>
            </w:r>
            <w:r w:rsidRPr="00386B78">
              <w:rPr>
                <w:rFonts w:ascii="Arial" w:hAnsi="Arial" w:cs="Arial"/>
                <w:sz w:val="20"/>
                <w:szCs w:val="20"/>
              </w:rPr>
              <w:br/>
              <w:t xml:space="preserve">i wymagają zalogowania poprzez witrynę internetową. W związku z dużym zainteresowaniem Uczestników, ale także z uwagi na okres wakacyjny, przedłużono dostępność szkoleń do 05.10.2020. Zakłada się podsumowanie statusu realizacji kamienia milowego po tym terminie. </w:t>
            </w:r>
          </w:p>
          <w:p w14:paraId="5304DD40" w14:textId="7777777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Przeszkolone osoby na 15.11.2020 – 276 mężczyzn, 345 kobiet. </w:t>
            </w:r>
          </w:p>
        </w:tc>
      </w:tr>
      <w:tr w:rsidR="00386B78" w:rsidRPr="00386B78" w14:paraId="14665B5C" w14:textId="77777777" w:rsidTr="00640F3A">
        <w:tc>
          <w:tcPr>
            <w:tcW w:w="2104" w:type="dxa"/>
          </w:tcPr>
          <w:p w14:paraId="71146939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iCs/>
                <w:sz w:val="20"/>
                <w:szCs w:val="20"/>
              </w:rPr>
              <w:lastRenderedPageBreak/>
              <w:t>Przygotowanie ekspozycji na Konferencję PEM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972F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255BA11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883" w:type="dxa"/>
          </w:tcPr>
          <w:p w14:paraId="3DD00FC4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2751" w:type="dxa"/>
          </w:tcPr>
          <w:p w14:paraId="71F9BA20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386B78" w:rsidRPr="00386B78" w14:paraId="446E81A5" w14:textId="77777777" w:rsidTr="00640F3A">
        <w:tc>
          <w:tcPr>
            <w:tcW w:w="2104" w:type="dxa"/>
          </w:tcPr>
          <w:p w14:paraId="35CB841B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D5AD" w14:textId="12AEA01E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4 – wartość docelowa 1200 przeszkolonych osób </w:t>
            </w:r>
            <w:r w:rsidRPr="00386B78">
              <w:rPr>
                <w:rFonts w:ascii="Arial" w:hAnsi="Arial" w:cs="Arial"/>
                <w:sz w:val="20"/>
                <w:szCs w:val="20"/>
              </w:rPr>
              <w:br/>
              <w:t xml:space="preserve">5 – wartość docelowa 700 przeszkolonych kobiet </w:t>
            </w:r>
            <w:r w:rsidRPr="00386B78">
              <w:rPr>
                <w:rFonts w:ascii="Arial" w:hAnsi="Arial" w:cs="Arial"/>
                <w:sz w:val="20"/>
                <w:szCs w:val="20"/>
              </w:rPr>
              <w:br/>
              <w:t>6 – wartość docelowa 500 przeszkolonych mężczyzn</w:t>
            </w:r>
          </w:p>
        </w:tc>
        <w:tc>
          <w:tcPr>
            <w:tcW w:w="1306" w:type="dxa"/>
          </w:tcPr>
          <w:p w14:paraId="6AED2DD4" w14:textId="1E977A90" w:rsidR="00826C7B" w:rsidRPr="00386B78" w:rsidRDefault="00043737" w:rsidP="00043737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1883" w:type="dxa"/>
          </w:tcPr>
          <w:p w14:paraId="28041202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51" w:type="dxa"/>
          </w:tcPr>
          <w:p w14:paraId="385232AA" w14:textId="2750F8AD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</w:tc>
      </w:tr>
      <w:tr w:rsidR="00386B78" w:rsidRPr="00386B78" w14:paraId="064A52BC" w14:textId="77777777" w:rsidTr="00640F3A">
        <w:tc>
          <w:tcPr>
            <w:tcW w:w="2104" w:type="dxa"/>
          </w:tcPr>
          <w:p w14:paraId="5E706145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Analiza instytucjonalno-prawna możliwości wykorzystania systemu w procesie inwestycyjnym wraz z rekomendacjami (zad. 5)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751A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1A92289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09.2020</w:t>
            </w:r>
          </w:p>
        </w:tc>
        <w:tc>
          <w:tcPr>
            <w:tcW w:w="1883" w:type="dxa"/>
          </w:tcPr>
          <w:p w14:paraId="309ED589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51" w:type="dxa"/>
          </w:tcPr>
          <w:p w14:paraId="4D7E8001" w14:textId="4756400B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14:paraId="43872487" w14:textId="1E686E02" w:rsidR="00826C7B" w:rsidRPr="00386B78" w:rsidRDefault="00E75C53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W związku z podpisaniem aneksu w dniu 29.01.2021 r. zostały zabezpieczone środki w KPRM na 2021 r. oraz wprowadzono postępowanie do planu zamówień KPRM. Dodatkowo zmodyfikowano Opis Przedmiotu zamówienia w związku z nowymi dokumentami UE mającymi wpływ na przedmiot analizy. W lutym złożono wniosek o udzielenie przedmiotowego zamówienia obecnie trwa zabezpieczanie środków na realizację postępowania o udzielnie przedmiotowego zamówienia. Niestety pomimo zakładanego harmonogramu nie udało się wszcząć przedmiotowego postepowania w okresie sprawozdawczym.</w:t>
            </w:r>
            <w:r w:rsidRPr="00386B78">
              <w:rPr>
                <w:rFonts w:ascii="Arial" w:hAnsi="Arial" w:cs="Arial"/>
                <w:sz w:val="20"/>
                <w:szCs w:val="20"/>
              </w:rPr>
              <w:br/>
            </w:r>
            <w:r w:rsidRPr="00386B78">
              <w:rPr>
                <w:rFonts w:ascii="Arial" w:hAnsi="Arial" w:cs="Arial"/>
                <w:spacing w:val="-2"/>
                <w:sz w:val="20"/>
                <w:szCs w:val="20"/>
              </w:rPr>
              <w:t>Problemy wynikają ze zmian organizacyjnych w strukturach KPRM. Konieczność migracji systemów księgowych z dawnego MC do KPRM oraz zmiany personalne w komórkach finansowych spowodowały opóźnienie w zabezpieczaniu odpo</w:t>
            </w:r>
            <w:r w:rsidRPr="00386B78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wiednich środków na realizację tego zamówienia. Departament Telekomunikacji interweniował w tej sprawie w służbach księgowych KPRM. Obecnie trwa przesuwanie środków na realizację zadania. Zmiana ta wymaga jednak decyzji Ministra Cyfryzacji</w:t>
            </w:r>
            <w:r w:rsidR="006645BE" w:rsidRPr="00386B78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  <w:p w14:paraId="32912BCE" w14:textId="77777777" w:rsidR="00826C7B" w:rsidRPr="00386B78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Jednocześnie należy wskazać, że przedmiot analizy wpisuje się w realizację Zalecenia Komisji z dnia 18 września 2020 r. </w:t>
            </w:r>
            <w:r w:rsidRPr="00386B78">
              <w:rPr>
                <w:rFonts w:ascii="Arial" w:hAnsi="Arial" w:cs="Arial"/>
                <w:i/>
                <w:sz w:val="20"/>
                <w:szCs w:val="20"/>
              </w:rPr>
              <w:t>w sprawie wspólnego unijnego zestawu narzędzi służących zmniejszeniu kosztów wprowadzania sieci o bardzo dużej przepustowości oraz zapewnieniu terminowego i sprzyjającego inwestycjom dostępu do widma radiowego 5G, aby wspierać łączność z myślą o odbudowie gospodarki po kryzysie związanym z COVID-19 w Unii</w:t>
            </w:r>
            <w:r w:rsidRPr="00386B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86B78" w:rsidRPr="00386B78" w14:paraId="6125EE39" w14:textId="77777777" w:rsidTr="00640F3A">
        <w:tc>
          <w:tcPr>
            <w:tcW w:w="2104" w:type="dxa"/>
          </w:tcPr>
          <w:p w14:paraId="6C54A20D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CFED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0A6CAD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AF7D773" w14:textId="77777777" w:rsidR="00826C7B" w:rsidRPr="00386B78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51" w:type="dxa"/>
          </w:tcPr>
          <w:p w14:paraId="1111563C" w14:textId="77777777" w:rsidR="00826C7B" w:rsidRPr="00386B78" w:rsidRDefault="00826C7B" w:rsidP="00826C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30E3EA" w14:textId="77777777" w:rsidR="00141A92" w:rsidRPr="00386B7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6B7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386B78" w:rsidRPr="00386B78" w14:paraId="46D940CC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9A44E5D" w14:textId="77777777" w:rsidR="00047D9D" w:rsidRPr="00386B7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386B7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5F3521" w14:textId="77777777" w:rsidR="00047D9D" w:rsidRPr="00386B7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386B78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28609D4" w14:textId="77777777" w:rsidR="00DC39A9" w:rsidRPr="00386B7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386B78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B33F7DD" w14:textId="77777777" w:rsidR="00047D9D" w:rsidRPr="00386B78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3B897DA" w14:textId="77777777" w:rsidR="00047D9D" w:rsidRPr="00386B7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386B78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386B78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BA6535F" w14:textId="77777777" w:rsidR="00047D9D" w:rsidRPr="00386B78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86B78" w:rsidRPr="00386B78" w14:paraId="47820E40" w14:textId="77777777" w:rsidTr="00047D9D">
        <w:tc>
          <w:tcPr>
            <w:tcW w:w="2545" w:type="dxa"/>
          </w:tcPr>
          <w:p w14:paraId="1797B16C" w14:textId="77777777" w:rsidR="00640F3A" w:rsidRPr="00386B78" w:rsidRDefault="00640F3A" w:rsidP="00640F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–</w:t>
            </w:r>
          </w:p>
          <w:p w14:paraId="317E3182" w14:textId="77777777" w:rsidR="00640F3A" w:rsidRPr="00386B78" w:rsidRDefault="00640F3A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dwustronna interakcja</w:t>
            </w:r>
          </w:p>
        </w:tc>
        <w:tc>
          <w:tcPr>
            <w:tcW w:w="1278" w:type="dxa"/>
          </w:tcPr>
          <w:p w14:paraId="513E27AF" w14:textId="77777777" w:rsidR="00640F3A" w:rsidRPr="00386B78" w:rsidRDefault="00640F3A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8854E26" w14:textId="77777777" w:rsidR="00640F3A" w:rsidRPr="00386B78" w:rsidRDefault="00640F3A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D13DF06" w14:textId="72765AAC" w:rsidR="00640F3A" w:rsidRPr="00386B78" w:rsidRDefault="00F5222C" w:rsidP="00E75C53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386B7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3342602A" w14:textId="77777777" w:rsidR="006121D8" w:rsidRPr="00386B78" w:rsidRDefault="00E75C5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4E5FAD24" w14:textId="2E18C0A6" w:rsidR="006121D8" w:rsidRPr="00386B78" w:rsidRDefault="006121D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</w:tr>
      <w:tr w:rsidR="00386B78" w:rsidRPr="00386B78" w14:paraId="069E3A17" w14:textId="77777777" w:rsidTr="00047D9D">
        <w:tc>
          <w:tcPr>
            <w:tcW w:w="2545" w:type="dxa"/>
          </w:tcPr>
          <w:p w14:paraId="636994B9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14:paraId="647B777D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FA3E108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7CFCDBF3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0B8EF6C9" w14:textId="77777777" w:rsidR="00F5222C" w:rsidRPr="00386B78" w:rsidRDefault="0076760B" w:rsidP="00F5222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Z</w:t>
            </w:r>
            <w:r w:rsidR="004A08B2" w:rsidRPr="00386B78">
              <w:rPr>
                <w:rFonts w:ascii="Arial" w:hAnsi="Arial" w:cs="Arial"/>
                <w:sz w:val="20"/>
                <w:szCs w:val="20"/>
              </w:rPr>
              <w:t>realizowany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(07.2020)</w:t>
            </w:r>
          </w:p>
        </w:tc>
      </w:tr>
      <w:tr w:rsidR="00386B78" w:rsidRPr="00386B78" w14:paraId="4C54589F" w14:textId="77777777" w:rsidTr="00047D9D">
        <w:tc>
          <w:tcPr>
            <w:tcW w:w="2545" w:type="dxa"/>
          </w:tcPr>
          <w:p w14:paraId="7F273940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Liczba uruchomionych systemów teleinformatycznych w podmiotach wykonujących zadania publiczne</w:t>
            </w:r>
          </w:p>
        </w:tc>
        <w:tc>
          <w:tcPr>
            <w:tcW w:w="1278" w:type="dxa"/>
          </w:tcPr>
          <w:p w14:paraId="1ECC5599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FFC801D" w14:textId="0297C563" w:rsidR="00F5222C" w:rsidRPr="00386B78" w:rsidRDefault="00773D0B" w:rsidP="00773D0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CB8E7C" w14:textId="760D6209" w:rsidR="00F5222C" w:rsidRPr="00386B78" w:rsidRDefault="00F5222C" w:rsidP="00773D0B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73D0B" w:rsidRPr="00386B7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348458E7" w14:textId="77777777" w:rsidR="00F5222C" w:rsidRPr="00386B78" w:rsidRDefault="00773D0B" w:rsidP="00F5222C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0025FC80" w14:textId="5AEF2630" w:rsidR="006121D8" w:rsidRPr="00386B78" w:rsidRDefault="006121D8" w:rsidP="00F5222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Uwaga: Udostępnienie nastąpi po 3 miesiącach od komunikatu Ministra Cyfryzacji o uruchomieniu systemu.</w:t>
            </w:r>
          </w:p>
        </w:tc>
      </w:tr>
      <w:tr w:rsidR="00386B78" w:rsidRPr="00386B78" w14:paraId="06DC403B" w14:textId="77777777" w:rsidTr="00047D9D">
        <w:tc>
          <w:tcPr>
            <w:tcW w:w="2545" w:type="dxa"/>
          </w:tcPr>
          <w:p w14:paraId="5AD8A65A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4472A3B6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7CFF4EDC" w14:textId="7B80137B" w:rsidR="00F5222C" w:rsidRPr="00386B78" w:rsidRDefault="00E75C53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701" w:type="dxa"/>
          </w:tcPr>
          <w:p w14:paraId="698154A4" w14:textId="46764BB2" w:rsidR="00F5222C" w:rsidRPr="00386B78" w:rsidRDefault="00F5222C" w:rsidP="00E75C53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386B78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21990833" w14:textId="77777777" w:rsidR="00F5222C" w:rsidRPr="00386B78" w:rsidRDefault="002B072D" w:rsidP="002B072D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621 </w:t>
            </w:r>
            <w:r w:rsidR="00E16EB5" w:rsidRPr="00386B78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E43F79" w:rsidRPr="00386B78">
              <w:rPr>
                <w:rFonts w:ascii="Arial" w:hAnsi="Arial" w:cs="Arial"/>
                <w:sz w:val="20"/>
                <w:szCs w:val="20"/>
              </w:rPr>
              <w:br/>
            </w:r>
            <w:r w:rsidR="00E16EB5" w:rsidRPr="00386B78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 w:rsidRPr="00386B78">
              <w:rPr>
                <w:rFonts w:ascii="Arial" w:hAnsi="Arial" w:cs="Arial"/>
                <w:sz w:val="20"/>
                <w:szCs w:val="20"/>
              </w:rPr>
              <w:t>15.11.</w:t>
            </w:r>
            <w:r w:rsidR="00E16EB5" w:rsidRPr="00386B78">
              <w:rPr>
                <w:rFonts w:ascii="Arial" w:hAnsi="Arial" w:cs="Arial"/>
                <w:sz w:val="20"/>
                <w:szCs w:val="20"/>
              </w:rPr>
              <w:t>2020)</w:t>
            </w:r>
          </w:p>
        </w:tc>
      </w:tr>
      <w:tr w:rsidR="00386B78" w:rsidRPr="00386B78" w14:paraId="491958CE" w14:textId="77777777" w:rsidTr="00047D9D">
        <w:tc>
          <w:tcPr>
            <w:tcW w:w="2545" w:type="dxa"/>
          </w:tcPr>
          <w:p w14:paraId="4A98D7A6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14:paraId="6495C854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133343A" w14:textId="159E1238" w:rsidR="00F5222C" w:rsidRPr="00386B78" w:rsidRDefault="00E75C53" w:rsidP="00E75C53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04677CA0" w14:textId="2F3BE794" w:rsidR="00F5222C" w:rsidRPr="00386B78" w:rsidRDefault="00F5222C" w:rsidP="00E75C53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386B78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1124BAA7" w14:textId="77777777" w:rsidR="00F5222C" w:rsidRPr="00386B78" w:rsidRDefault="002B072D" w:rsidP="002B072D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345 </w:t>
            </w:r>
            <w:r w:rsidR="00E16EB5" w:rsidRPr="00386B78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1A7737" w:rsidRPr="00386B78">
              <w:rPr>
                <w:rFonts w:ascii="Arial" w:hAnsi="Arial" w:cs="Arial"/>
                <w:sz w:val="20"/>
                <w:szCs w:val="20"/>
              </w:rPr>
              <w:br/>
            </w:r>
            <w:r w:rsidR="00E16EB5" w:rsidRPr="00386B78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 w:rsidRPr="00386B78">
              <w:rPr>
                <w:rFonts w:ascii="Arial" w:hAnsi="Arial" w:cs="Arial"/>
                <w:sz w:val="20"/>
                <w:szCs w:val="20"/>
              </w:rPr>
              <w:t>15.11</w:t>
            </w:r>
            <w:r w:rsidR="00094D75" w:rsidRPr="00386B78">
              <w:rPr>
                <w:rFonts w:ascii="Arial" w:hAnsi="Arial" w:cs="Arial"/>
                <w:sz w:val="20"/>
                <w:szCs w:val="20"/>
              </w:rPr>
              <w:t>.2020</w:t>
            </w:r>
            <w:r w:rsidR="00E16EB5" w:rsidRPr="00386B7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86B78" w:rsidRPr="00386B78" w14:paraId="2FAE0272" w14:textId="77777777" w:rsidTr="00773D0B">
        <w:trPr>
          <w:trHeight w:val="1473"/>
        </w:trPr>
        <w:tc>
          <w:tcPr>
            <w:tcW w:w="2545" w:type="dxa"/>
          </w:tcPr>
          <w:p w14:paraId="6C70C341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CFF8E72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0892BE" w14:textId="2E63CF1F" w:rsidR="00F5222C" w:rsidRPr="00386B78" w:rsidRDefault="00E75C53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</w:tcPr>
          <w:p w14:paraId="6AF24901" w14:textId="38FF755B" w:rsidR="00F5222C" w:rsidRPr="00386B78" w:rsidRDefault="00F5222C" w:rsidP="00E75C53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386B78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6BE79E3A" w14:textId="77777777" w:rsidR="00F5222C" w:rsidRPr="00386B78" w:rsidRDefault="002B072D" w:rsidP="002B072D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276</w:t>
            </w:r>
            <w:r w:rsidR="00E16EB5" w:rsidRPr="00386B78">
              <w:rPr>
                <w:rFonts w:ascii="Arial" w:hAnsi="Arial" w:cs="Arial"/>
                <w:sz w:val="20"/>
                <w:szCs w:val="20"/>
              </w:rPr>
              <w:t xml:space="preserve"> osób </w:t>
            </w:r>
            <w:r w:rsidR="001A7737" w:rsidRPr="00386B78">
              <w:rPr>
                <w:rFonts w:ascii="Arial" w:hAnsi="Arial" w:cs="Arial"/>
                <w:sz w:val="20"/>
                <w:szCs w:val="20"/>
              </w:rPr>
              <w:br/>
            </w:r>
            <w:r w:rsidR="00E16EB5" w:rsidRPr="00386B78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 w:rsidRPr="00386B78">
              <w:rPr>
                <w:rFonts w:ascii="Arial" w:hAnsi="Arial" w:cs="Arial"/>
                <w:sz w:val="20"/>
                <w:szCs w:val="20"/>
              </w:rPr>
              <w:t>15.11</w:t>
            </w:r>
            <w:r w:rsidR="00094D75" w:rsidRPr="00386B78">
              <w:rPr>
                <w:rFonts w:ascii="Arial" w:hAnsi="Arial" w:cs="Arial"/>
                <w:sz w:val="20"/>
                <w:szCs w:val="20"/>
              </w:rPr>
              <w:t>.2020</w:t>
            </w:r>
            <w:r w:rsidR="00E16EB5" w:rsidRPr="00386B7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86B78" w:rsidRPr="00386B78" w14:paraId="45F7C60D" w14:textId="77777777" w:rsidTr="00047D9D">
        <w:tc>
          <w:tcPr>
            <w:tcW w:w="2545" w:type="dxa"/>
          </w:tcPr>
          <w:p w14:paraId="41A08E21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Liczba rejestrów publicznych o poprawionej interoperacyjności</w:t>
            </w:r>
          </w:p>
        </w:tc>
        <w:tc>
          <w:tcPr>
            <w:tcW w:w="1278" w:type="dxa"/>
          </w:tcPr>
          <w:p w14:paraId="4779631A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6DBB17E" w14:textId="693D189D" w:rsidR="00F5222C" w:rsidRPr="00386B78" w:rsidRDefault="00773D0B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34E879" w14:textId="382E8F9A" w:rsidR="00F5222C" w:rsidRPr="00386B78" w:rsidRDefault="00773D0B" w:rsidP="00F5222C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268" w:type="dxa"/>
          </w:tcPr>
          <w:p w14:paraId="3E189952" w14:textId="77777777" w:rsidR="00F5222C" w:rsidRPr="00386B78" w:rsidRDefault="00773D0B" w:rsidP="00F5222C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59C71830" w14:textId="50BEBF12" w:rsidR="006121D8" w:rsidRPr="00386B78" w:rsidRDefault="006121D8" w:rsidP="00F5222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</w:tr>
      <w:tr w:rsidR="00386B78" w:rsidRPr="00386B78" w14:paraId="21918FE5" w14:textId="77777777" w:rsidTr="00047D9D">
        <w:tc>
          <w:tcPr>
            <w:tcW w:w="2545" w:type="dxa"/>
          </w:tcPr>
          <w:p w14:paraId="4D75A7AE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5AE9893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201B7E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18CB6D51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18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01.2022</w:t>
            </w:r>
          </w:p>
        </w:tc>
        <w:tc>
          <w:tcPr>
            <w:tcW w:w="2268" w:type="dxa"/>
          </w:tcPr>
          <w:p w14:paraId="4F2D8D46" w14:textId="77777777" w:rsidR="00F5222C" w:rsidRPr="00386B78" w:rsidRDefault="00F5222C" w:rsidP="00F5222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84A1962" w14:textId="77777777" w:rsidR="00AF7AF6" w:rsidRPr="00386B78" w:rsidRDefault="007D2C34" w:rsidP="00AF7AF6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386B7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386B7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7DBCB298" w14:textId="2D330C48" w:rsidR="00AF7AF6" w:rsidRPr="00386B78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386B78">
        <w:t xml:space="preserve">Planowane daty wdrożenia produktów zmieniono </w:t>
      </w:r>
      <w:r w:rsidRPr="00386B78">
        <w:rPr>
          <w:rFonts w:ascii="Arial" w:hAnsi="Arial" w:cs="Arial"/>
          <w:sz w:val="20"/>
          <w:szCs w:val="20"/>
        </w:rPr>
        <w:t xml:space="preserve">na podstawie zawartego z dnia </w:t>
      </w:r>
      <w:r w:rsidR="000825F2" w:rsidRPr="00386B78">
        <w:rPr>
          <w:rFonts w:ascii="Arial" w:hAnsi="Arial" w:cs="Arial"/>
          <w:sz w:val="20"/>
          <w:szCs w:val="20"/>
        </w:rPr>
        <w:t>29.01.2021</w:t>
      </w:r>
      <w:r w:rsidR="000825F2" w:rsidRPr="00386B78">
        <w:rPr>
          <w:rFonts w:ascii="Arial" w:hAnsi="Arial" w:cs="Arial"/>
          <w:b/>
          <w:sz w:val="20"/>
          <w:szCs w:val="20"/>
        </w:rPr>
        <w:t xml:space="preserve"> </w:t>
      </w:r>
      <w:r w:rsidRPr="00386B78">
        <w:rPr>
          <w:rFonts w:ascii="Arial" w:hAnsi="Arial" w:cs="Arial"/>
          <w:sz w:val="20"/>
          <w:szCs w:val="20"/>
        </w:rPr>
        <w:t>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2458"/>
        <w:gridCol w:w="3118"/>
      </w:tblGrid>
      <w:tr w:rsidR="00386B78" w:rsidRPr="00386B78" w14:paraId="41E43DA8" w14:textId="77777777" w:rsidTr="00F51A36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B1C63EF" w14:textId="77777777" w:rsidR="007D38BD" w:rsidRPr="00386B7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386B7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32A543" w14:textId="77777777" w:rsidR="007D38BD" w:rsidRPr="00386B7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386B7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458" w:type="dxa"/>
            <w:shd w:val="clear" w:color="auto" w:fill="D0CECE" w:themeFill="background2" w:themeFillShade="E6"/>
          </w:tcPr>
          <w:p w14:paraId="00FAC23A" w14:textId="77777777" w:rsidR="007D38BD" w:rsidRPr="00386B7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2EF9D81B" w14:textId="77777777" w:rsidR="007D38BD" w:rsidRPr="00386B78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86B78" w:rsidRPr="00386B78" w14:paraId="52A3B09E" w14:textId="77777777" w:rsidTr="00F51A36">
        <w:tc>
          <w:tcPr>
            <w:tcW w:w="2797" w:type="dxa"/>
          </w:tcPr>
          <w:p w14:paraId="6C1E1DB3" w14:textId="77777777" w:rsidR="00640F3A" w:rsidRPr="00386B78" w:rsidRDefault="00640F3A" w:rsidP="00E75C53">
            <w:pPr>
              <w:keepLines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Usługa  e-PEM.</w:t>
            </w:r>
          </w:p>
          <w:p w14:paraId="5A663F15" w14:textId="77777777" w:rsidR="00640F3A" w:rsidRPr="00386B78" w:rsidRDefault="00640F3A" w:rsidP="00E75C53">
            <w:pPr>
              <w:keepLines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Usługa umożliwiająca i 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ułatwiająca dostęp 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386B78">
              <w:rPr>
                <w:rFonts w:ascii="Arial" w:hAnsi="Arial" w:cs="Arial"/>
                <w:sz w:val="20"/>
                <w:szCs w:val="20"/>
              </w:rPr>
              <w:t>do istotnych danych środowiskowych dotyczących PEM, zawierająca narzędzia teleinformatyczne oraz modele obliczeniowe umożliwiające analizę, agregację i przetwarzanie danych pomiarowych z różnych dostępnych źródeł oraz precyzyjną estymację ciągłych rozkładów PEM w oparciu o pomiary i opracowane modele matematyczne, w szczególności:</w:t>
            </w:r>
          </w:p>
          <w:p w14:paraId="1F8EE791" w14:textId="77777777" w:rsidR="00640F3A" w:rsidRPr="00386B78" w:rsidRDefault="00640F3A" w:rsidP="00E75C53">
            <w:pPr>
              <w:keepLines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– dla prowadzących instalacje radiokomunikacyjne wytwarzające PEM, usługa związana z planowaniem i projektowaniem nowych sieci radiokomunikacyjnych, w tym formularz z narzędziami do obsługi działań związanych z wprowadzaniem geolokalizowanych danych o obiektach i zdarzeniach (pomiarach i symulacjach) PEM,</w:t>
            </w:r>
          </w:p>
          <w:p w14:paraId="48565E79" w14:textId="77777777" w:rsidR="00640F3A" w:rsidRPr="00386B78" w:rsidRDefault="00640F3A" w:rsidP="00E75C53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W wyniku powstałej usługi będą udostępniane informacje dla obywateli polegające na dostępie do </w:t>
            </w:r>
            <w:r w:rsidRPr="00386B78">
              <w:rPr>
                <w:rFonts w:ascii="Arial" w:hAnsi="Arial" w:cs="Arial"/>
                <w:sz w:val="20"/>
                <w:szCs w:val="20"/>
              </w:rPr>
              <w:t>jednoznacznych, kompletnych i spójnych danych o instalacjach wytwarzających PEM z radiowego zakresu częstotliwości, jednocześnie zapewniająca skuteczne monitorowanie PEM.</w:t>
            </w:r>
          </w:p>
        </w:tc>
        <w:tc>
          <w:tcPr>
            <w:tcW w:w="1261" w:type="dxa"/>
          </w:tcPr>
          <w:p w14:paraId="347315A9" w14:textId="51739BDB" w:rsidR="00640F3A" w:rsidRPr="00386B78" w:rsidRDefault="00F5222C" w:rsidP="00E75C5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  <w:r w:rsidR="00E75C53" w:rsidRPr="00386B78">
              <w:rPr>
                <w:rFonts w:ascii="Arial" w:hAnsi="Arial" w:cs="Arial"/>
                <w:sz w:val="20"/>
                <w:szCs w:val="20"/>
              </w:rPr>
              <w:t>3</w:t>
            </w:r>
            <w:r w:rsidRPr="00386B78">
              <w:rPr>
                <w:rFonts w:ascii="Arial" w:hAnsi="Arial" w:cs="Arial"/>
                <w:sz w:val="20"/>
                <w:szCs w:val="20"/>
              </w:rPr>
              <w:t>.2021</w:t>
            </w:r>
          </w:p>
        </w:tc>
        <w:tc>
          <w:tcPr>
            <w:tcW w:w="2458" w:type="dxa"/>
          </w:tcPr>
          <w:p w14:paraId="2D35A739" w14:textId="77777777" w:rsidR="00640F3A" w:rsidRPr="00386B78" w:rsidRDefault="00E75C53" w:rsidP="00E75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03.2021</w:t>
            </w:r>
          </w:p>
          <w:p w14:paraId="3E12B5BC" w14:textId="7E5CEF8C" w:rsidR="00F51A36" w:rsidRPr="00386B78" w:rsidRDefault="00F51A36" w:rsidP="00E75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Uwaga: Usługa zrealizowana i gotowa do udo</w:t>
            </w: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stępnienia. Udostępnienie nastąpi po 3 miesiącach od komunikatu Ministra Cyfryzacji o uruchomieniu systemu.</w:t>
            </w:r>
          </w:p>
        </w:tc>
        <w:tc>
          <w:tcPr>
            <w:tcW w:w="3118" w:type="dxa"/>
          </w:tcPr>
          <w:p w14:paraId="23AD83BD" w14:textId="77777777" w:rsidR="00640F3A" w:rsidRPr="00386B78" w:rsidRDefault="00640F3A" w:rsidP="00E75C5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</w:tr>
    </w:tbl>
    <w:p w14:paraId="6CBB77C2" w14:textId="77777777" w:rsidR="00933BEC" w:rsidRPr="00386B78" w:rsidRDefault="00933BEC" w:rsidP="009A0D78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386B78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386B7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386B78" w:rsidRPr="00386B78" w14:paraId="274EB2EB" w14:textId="77777777" w:rsidTr="00640F3A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EEE4FED" w14:textId="77777777" w:rsidR="00C6751B" w:rsidRPr="00386B7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386B7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77D1A14" w14:textId="77777777" w:rsidR="00C6751B" w:rsidRPr="00386B7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55E4929" w14:textId="77777777" w:rsidR="00C6751B" w:rsidRPr="00386B7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2D295FD8" w14:textId="77777777" w:rsidR="00C6751B" w:rsidRPr="00386B7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86B78" w:rsidRPr="00386B78" w14:paraId="44C21B9F" w14:textId="77777777" w:rsidTr="00640F3A">
        <w:tc>
          <w:tcPr>
            <w:tcW w:w="2807" w:type="dxa"/>
          </w:tcPr>
          <w:p w14:paraId="1132A5DC" w14:textId="77777777" w:rsidR="00640F3A" w:rsidRPr="00386B78" w:rsidRDefault="00640F3A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1261" w:type="dxa"/>
          </w:tcPr>
          <w:p w14:paraId="5F119D25" w14:textId="77777777" w:rsidR="00640F3A" w:rsidRPr="00386B78" w:rsidRDefault="00640F3A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41C6856F" w14:textId="4FC1653E" w:rsidR="00640F3A" w:rsidRPr="00386B78" w:rsidRDefault="00DC6DF5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03.2021</w:t>
            </w:r>
            <w:r w:rsidR="00F51A36" w:rsidRPr="00386B78">
              <w:rPr>
                <w:rFonts w:ascii="Arial" w:hAnsi="Arial" w:cs="Arial"/>
                <w:sz w:val="20"/>
                <w:szCs w:val="20"/>
              </w:rPr>
              <w:t xml:space="preserve"> Uwaga: Usługa zrealizowana i gotowa do udostępnienia. Udostępnienie nastąpi po 3 miesiącach od komunikatu Ministra Cyfryzacji o </w:t>
            </w:r>
            <w:r w:rsidR="00F51A36" w:rsidRPr="00386B78">
              <w:rPr>
                <w:rFonts w:ascii="Arial" w:hAnsi="Arial" w:cs="Arial"/>
                <w:sz w:val="20"/>
                <w:szCs w:val="20"/>
              </w:rPr>
              <w:lastRenderedPageBreak/>
              <w:t>uruchomieniu systemu.</w:t>
            </w:r>
          </w:p>
        </w:tc>
        <w:tc>
          <w:tcPr>
            <w:tcW w:w="4171" w:type="dxa"/>
          </w:tcPr>
          <w:p w14:paraId="77F9C9DD" w14:textId="5E89F2E3" w:rsidR="00640F3A" w:rsidRPr="00386B78" w:rsidRDefault="008B3F3A" w:rsidP="00AE6068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Liczba nadajników uwzględnionych w symulacjach: 604952</w:t>
            </w:r>
            <w:r w:rsidRPr="00386B7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386B78" w:rsidRPr="00386B78" w14:paraId="4E6CD94A" w14:textId="77777777" w:rsidTr="00640F3A">
        <w:tc>
          <w:tcPr>
            <w:tcW w:w="2807" w:type="dxa"/>
          </w:tcPr>
          <w:p w14:paraId="65AA71CF" w14:textId="77777777" w:rsidR="00640F3A" w:rsidRPr="00386B78" w:rsidRDefault="00640F3A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Dane ze sprawozdań – liczba sprawozdań w tym sprawozdania z kampanii pomiarowych PEM realizowanych przez IŁ-PIB</w:t>
            </w:r>
          </w:p>
        </w:tc>
        <w:tc>
          <w:tcPr>
            <w:tcW w:w="1261" w:type="dxa"/>
          </w:tcPr>
          <w:p w14:paraId="56DD043D" w14:textId="77777777" w:rsidR="00640F3A" w:rsidRPr="00386B78" w:rsidRDefault="00640F3A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7F88388" w14:textId="77777777" w:rsidR="00640F3A" w:rsidRPr="00386B78" w:rsidRDefault="00640F3A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14:paraId="13DADD6A" w14:textId="77777777" w:rsidR="00640F3A" w:rsidRPr="00386B78" w:rsidRDefault="00640F3A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Liczba udostępnionych sprawozdań – 6753</w:t>
            </w:r>
            <w:r w:rsidRPr="00386B7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386B78" w:rsidRPr="00386B78" w14:paraId="68648344" w14:textId="77777777" w:rsidTr="00640F3A">
        <w:tc>
          <w:tcPr>
            <w:tcW w:w="2807" w:type="dxa"/>
          </w:tcPr>
          <w:p w14:paraId="40D8C50C" w14:textId="77777777" w:rsidR="00640F3A" w:rsidRPr="00386B78" w:rsidRDefault="00640F3A" w:rsidP="00640F3A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Informacje o urządzeniach nadawczych w instalacjach radiokomunikacyjnych – liczba lokalizacji urządzeń nadawczych w instalacjach radiokomunikacyjnych, wprowadzonych do systemu</w:t>
            </w:r>
          </w:p>
          <w:p w14:paraId="570C3D0B" w14:textId="77777777" w:rsidR="00640F3A" w:rsidRPr="00386B78" w:rsidRDefault="00640F3A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1261" w:type="dxa"/>
          </w:tcPr>
          <w:p w14:paraId="0B8EA71E" w14:textId="77777777" w:rsidR="00640F3A" w:rsidRPr="00386B78" w:rsidRDefault="00640F3A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AADCE63" w14:textId="0D0B88D4" w:rsidR="00640F3A" w:rsidRPr="00386B78" w:rsidRDefault="001024D0" w:rsidP="009D2EAD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03.2021</w:t>
            </w:r>
          </w:p>
        </w:tc>
        <w:tc>
          <w:tcPr>
            <w:tcW w:w="4171" w:type="dxa"/>
          </w:tcPr>
          <w:p w14:paraId="78D39769" w14:textId="501C75F5" w:rsidR="00640F3A" w:rsidRPr="00386B78" w:rsidRDefault="00640F3A" w:rsidP="001024D0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Liczba lokalizacji urządzeń nadawczych w instalacjach radiokomunikacyjnych, wprowadzonych do systemu – </w:t>
            </w:r>
            <w:r w:rsidR="001024D0" w:rsidRPr="00386B78">
              <w:rPr>
                <w:rFonts w:ascii="Arial" w:hAnsi="Arial" w:cs="Arial"/>
                <w:sz w:val="20"/>
                <w:szCs w:val="20"/>
                <w:lang w:eastAsia="pl-PL"/>
              </w:rPr>
              <w:t>38 840</w:t>
            </w:r>
            <w:r w:rsidRPr="00386B78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</w:tr>
    </w:tbl>
    <w:p w14:paraId="730CA5BC" w14:textId="77777777" w:rsidR="004C1D48" w:rsidRPr="00386B7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386B7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386B78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386B78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386B78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386B78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386B78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386B78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386B78">
        <w:rPr>
          <w:rFonts w:ascii="Arial" w:hAnsi="Arial" w:cs="Arial"/>
          <w:color w:val="auto"/>
        </w:rPr>
        <w:t xml:space="preserve"> </w:t>
      </w:r>
    </w:p>
    <w:p w14:paraId="473F1BED" w14:textId="13E21BAB" w:rsidR="00AF7AF6" w:rsidRPr="00386B78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386B78">
        <w:rPr>
          <w:rStyle w:val="Nagwek2Znak"/>
          <w:rFonts w:ascii="Arial" w:hAnsi="Arial" w:cs="Arial"/>
          <w:color w:val="auto"/>
          <w:sz w:val="20"/>
          <w:szCs w:val="20"/>
        </w:rPr>
        <w:t xml:space="preserve">Daty produktów końcowych zostały zmienione </w:t>
      </w:r>
      <w:r w:rsidRPr="00386B78">
        <w:rPr>
          <w:rFonts w:ascii="Arial" w:hAnsi="Arial" w:cs="Arial"/>
          <w:sz w:val="20"/>
          <w:szCs w:val="20"/>
        </w:rPr>
        <w:t xml:space="preserve">na podstawie zawartego z dnia </w:t>
      </w:r>
      <w:r w:rsidR="00E75C53" w:rsidRPr="00386B78">
        <w:rPr>
          <w:rFonts w:ascii="Arial" w:hAnsi="Arial" w:cs="Arial"/>
          <w:sz w:val="20"/>
          <w:szCs w:val="20"/>
        </w:rPr>
        <w:t>29.01</w:t>
      </w:r>
      <w:r w:rsidRPr="00386B78">
        <w:rPr>
          <w:rFonts w:ascii="Arial" w:hAnsi="Arial" w:cs="Arial"/>
          <w:sz w:val="20"/>
          <w:szCs w:val="20"/>
        </w:rPr>
        <w:t>.2020 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386B78" w:rsidRPr="00386B78" w14:paraId="348DAC5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B1F2C09" w14:textId="77777777" w:rsidR="004C1D48" w:rsidRPr="00386B7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5E94669" w14:textId="77777777" w:rsidR="004C1D48" w:rsidRPr="00386B7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13F0E9F" w14:textId="77777777" w:rsidR="004C1D48" w:rsidRPr="00386B7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B20D9DB" w14:textId="77777777" w:rsidR="004C1D48" w:rsidRPr="00386B7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386B7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386B78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6527635" w14:textId="77777777" w:rsidR="004C1D48" w:rsidRPr="00386B7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B78" w:rsidRPr="00386B78" w14:paraId="1B783BAE" w14:textId="77777777" w:rsidTr="00640F3A">
        <w:tc>
          <w:tcPr>
            <w:tcW w:w="2547" w:type="dxa"/>
          </w:tcPr>
          <w:p w14:paraId="3A1869D5" w14:textId="77777777" w:rsidR="001517BA" w:rsidRPr="00386B78" w:rsidRDefault="001517B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Baza danych wraz z interfejsami do zbierania, przetwarzania, prezentowania i udostępniania danych z pomiarów poziomów PEM </w:t>
            </w:r>
          </w:p>
        </w:tc>
        <w:tc>
          <w:tcPr>
            <w:tcW w:w="1701" w:type="dxa"/>
          </w:tcPr>
          <w:p w14:paraId="7B1998E6" w14:textId="77777777" w:rsidR="00F51A36" w:rsidRPr="00386B78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386B7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  <w:r w:rsidR="00F51A36" w:rsidRPr="00386B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5A0D204" w14:textId="5EB9059F" w:rsidR="001517BA" w:rsidRPr="00386B78" w:rsidRDefault="00F51A36" w:rsidP="00E75C53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15A5C1CA" w14:textId="77777777" w:rsidR="001517BA" w:rsidRPr="00386B78" w:rsidRDefault="001517BA" w:rsidP="00640F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3083029" w14:textId="77777777" w:rsidR="001517BA" w:rsidRPr="00386B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Pr="00386B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Ekoinfonet"</w:t>
            </w:r>
            <w:r w:rsidRPr="00386B7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2C5D33" w14:textId="77777777" w:rsidR="001517BA" w:rsidRPr="00386B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86B78">
              <w:rPr>
                <w:rFonts w:ascii="Arial" w:hAnsi="Arial" w:cs="Arial"/>
                <w:sz w:val="20"/>
                <w:szCs w:val="20"/>
                <w:u w:val="single"/>
              </w:rPr>
              <w:t>Zależności: Ekoinfonet → SI2PEM</w:t>
            </w:r>
          </w:p>
          <w:p w14:paraId="0D00523C" w14:textId="77777777" w:rsidR="001517BA" w:rsidRPr="00386B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86B78">
              <w:rPr>
                <w:rFonts w:ascii="Arial" w:hAnsi="Arial" w:cs="Arial"/>
                <w:color w:val="auto"/>
                <w:sz w:val="20"/>
                <w:szCs w:val="20"/>
              </w:rPr>
              <w:t>dane z pomiarów Państwowego Monitoringu Środowiska oraz pomiarów kontrolnych i interwencyjnych, zgromadzone w bazie JELMAG</w:t>
            </w:r>
          </w:p>
          <w:p w14:paraId="605F8011" w14:textId="77777777" w:rsidR="001517BA" w:rsidRPr="00386B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86B78">
              <w:rPr>
                <w:rFonts w:ascii="Arial" w:hAnsi="Arial" w:cs="Arial"/>
                <w:sz w:val="20"/>
                <w:szCs w:val="20"/>
                <w:u w:val="single"/>
              </w:rPr>
              <w:t>Status integracji</w:t>
            </w:r>
          </w:p>
          <w:p w14:paraId="4AC0F5D3" w14:textId="77777777" w:rsidR="00AF7AF6" w:rsidRPr="00386B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Projekt Ekoinfonet planowany do realizacji, w ramach POPC 2.1. – obecnie nieznany status projektu.</w:t>
            </w:r>
            <w:r w:rsidR="00AF7AF6"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37DD6" w14:textId="77777777" w:rsidR="001517BA" w:rsidRPr="00386B78" w:rsidRDefault="00AF7AF6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Status integracji z Ekoinfonet – zrealizowany. Do SI2PEM przesyłane są pliki XLSX generowane z systemu JELMAG.</w:t>
            </w:r>
          </w:p>
          <w:p w14:paraId="061F60F3" w14:textId="77777777" w:rsidR="001517BA" w:rsidRPr="00386B78" w:rsidRDefault="001517BA" w:rsidP="000E0237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  <w:u w:val="single"/>
              </w:rPr>
              <w:t>[2] Projekt komplementarny:</w:t>
            </w:r>
          </w:p>
          <w:p w14:paraId="7CD6F475" w14:textId="77777777" w:rsidR="001517BA" w:rsidRPr="00386B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Kampanie pomiarowe PEM realizowane w ramach dotacji celowej MC</w:t>
            </w:r>
          </w:p>
          <w:p w14:paraId="5D6D36D2" w14:textId="77777777" w:rsidR="001517BA" w:rsidRPr="00386B78" w:rsidRDefault="001517BA" w:rsidP="000E0237">
            <w:pPr>
              <w:pStyle w:val="Default"/>
              <w:spacing w:before="120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386B78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Zależności: Kampanie pomiarowe PEM → SI2PEM</w:t>
            </w:r>
          </w:p>
          <w:p w14:paraId="41DCFC1E" w14:textId="77777777" w:rsidR="001517BA" w:rsidRPr="00386B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86B78">
              <w:rPr>
                <w:rFonts w:ascii="Arial" w:hAnsi="Arial" w:cs="Arial"/>
                <w:color w:val="auto"/>
                <w:sz w:val="20"/>
                <w:szCs w:val="20"/>
              </w:rPr>
              <w:t>dane z pomiarów realizowanych w ramach kampanii pomiarowych</w:t>
            </w:r>
          </w:p>
          <w:p w14:paraId="55C0DEF8" w14:textId="77777777" w:rsidR="001517BA" w:rsidRPr="00386B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86B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41FCD4B0" w14:textId="5DBCC9C2" w:rsidR="001517BA" w:rsidRPr="00386B78" w:rsidRDefault="002356D0" w:rsidP="002356D0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="00BA3416" w:rsidRPr="00386B78">
              <w:rPr>
                <w:rFonts w:ascii="Arial" w:hAnsi="Arial" w:cs="Arial"/>
                <w:sz w:val="20"/>
                <w:szCs w:val="20"/>
              </w:rPr>
              <w:t>nterfejsy umożliwiające zasilanie SI2PEM danymi z kampanii pomiarowych PEM z lat 2016-2019 oraz kolejnych</w:t>
            </w:r>
            <w:r w:rsidR="006645BE"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B78">
              <w:rPr>
                <w:rFonts w:ascii="Arial" w:hAnsi="Arial" w:cs="Arial"/>
                <w:sz w:val="20"/>
                <w:szCs w:val="20"/>
              </w:rPr>
              <w:t>- zrealizowane</w:t>
            </w:r>
            <w:r w:rsidR="00BA3416" w:rsidRPr="00386B78">
              <w:rPr>
                <w:rFonts w:ascii="Arial" w:hAnsi="Arial" w:cs="Arial"/>
                <w:sz w:val="20"/>
                <w:szCs w:val="20"/>
              </w:rPr>
              <w:t xml:space="preserve">; pomiary poziomów PEM 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z 2020 - </w:t>
            </w:r>
            <w:r w:rsidR="00BA3416" w:rsidRPr="00386B78">
              <w:rPr>
                <w:rFonts w:ascii="Arial" w:hAnsi="Arial" w:cs="Arial"/>
                <w:sz w:val="20"/>
                <w:szCs w:val="20"/>
              </w:rPr>
              <w:t>w fazie realizacji</w:t>
            </w:r>
            <w:r w:rsidR="00924BCF" w:rsidRPr="00386B7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386B78" w:rsidRPr="00386B78" w14:paraId="577A59EF" w14:textId="77777777" w:rsidTr="00640F3A">
        <w:tc>
          <w:tcPr>
            <w:tcW w:w="2547" w:type="dxa"/>
          </w:tcPr>
          <w:p w14:paraId="6E965095" w14:textId="77777777" w:rsidR="001517BA" w:rsidRPr="00386B78" w:rsidRDefault="001517B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 xml:space="preserve">Baza geolokalizowanych danych o urządzeniach nadawczych w sieciach mobilnych i geolokalizowanych danych pomiarowych </w:t>
            </w:r>
          </w:p>
        </w:tc>
        <w:tc>
          <w:tcPr>
            <w:tcW w:w="1701" w:type="dxa"/>
          </w:tcPr>
          <w:p w14:paraId="78C1D57C" w14:textId="77777777" w:rsidR="001517BA" w:rsidRPr="00386B78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386B7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179E642F" w14:textId="3F27DBA6" w:rsidR="00F51A36" w:rsidRPr="00386B78" w:rsidRDefault="00F51A36" w:rsidP="00E75C53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327622E3" w14:textId="77777777" w:rsidR="001517BA" w:rsidRPr="00386B78" w:rsidRDefault="001517BA" w:rsidP="00640F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92520B3" w14:textId="77777777" w:rsidR="001517BA" w:rsidRPr="00386B78" w:rsidRDefault="001517BA" w:rsidP="000E02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</w:p>
          <w:p w14:paraId="206462BF" w14:textId="77777777" w:rsidR="001517BA" w:rsidRPr="00386B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Projekt pt. „</w:t>
            </w:r>
            <w:r w:rsidRPr="00386B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Pr="00386B78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462D0CA2" w14:textId="77777777" w:rsidR="001517BA" w:rsidRPr="00386B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86B78">
              <w:rPr>
                <w:rFonts w:ascii="Arial" w:hAnsi="Arial" w:cs="Arial"/>
                <w:sz w:val="20"/>
                <w:szCs w:val="20"/>
                <w:u w:val="single"/>
              </w:rPr>
              <w:t>Zależności: SI2PEM → Ekoinfonet</w:t>
            </w:r>
          </w:p>
          <w:p w14:paraId="494A751F" w14:textId="77777777" w:rsidR="001517BA" w:rsidRPr="00386B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86B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wynikach pomiarów PEM zgromadzone w bazie danych SI2PEM </w:t>
            </w:r>
          </w:p>
          <w:p w14:paraId="487C1109" w14:textId="77777777" w:rsidR="001517BA" w:rsidRPr="00386B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86B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instalacjach wytwarzających pole elektromagnetyczne zgromadzone w bazie danych SI2PEM </w:t>
            </w:r>
          </w:p>
          <w:p w14:paraId="5AA659E3" w14:textId="77777777" w:rsidR="001517BA" w:rsidRPr="00386B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86B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3AD34E94" w14:textId="4FFE2486" w:rsidR="001517BA" w:rsidRPr="00386B78" w:rsidRDefault="001517BA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Projekt Ekoinfonet planowany do realizacji, w ramach POPC 2.1 – obecnie nieznany status projektu.</w:t>
            </w:r>
          </w:p>
        </w:tc>
      </w:tr>
      <w:tr w:rsidR="00386B78" w:rsidRPr="00386B78" w14:paraId="5529A33C" w14:textId="77777777" w:rsidTr="00640F3A">
        <w:tc>
          <w:tcPr>
            <w:tcW w:w="2547" w:type="dxa"/>
          </w:tcPr>
          <w:p w14:paraId="0BD8FB52" w14:textId="77777777" w:rsidR="001517BA" w:rsidRPr="00386B78" w:rsidRDefault="001517B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Narzędzia dla przedsiębiorców i obywateli do prezentacji danych z pomiarów w postaci map cyfrowych oraz w postaci tabelarycznej </w:t>
            </w:r>
          </w:p>
        </w:tc>
        <w:tc>
          <w:tcPr>
            <w:tcW w:w="1701" w:type="dxa"/>
          </w:tcPr>
          <w:p w14:paraId="7B1D4DEF" w14:textId="77777777" w:rsidR="001517BA" w:rsidRPr="00386B78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386B7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1E2E35EF" w14:textId="2E43D305" w:rsidR="00F51A36" w:rsidRPr="00386B78" w:rsidRDefault="00F51A36" w:rsidP="00E75C53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Uwaga: Usługa zrealizowana i gotowa do udostępnienia. Udo</w:t>
            </w: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6DD7CDB1" w14:textId="77777777" w:rsidR="001517BA" w:rsidRPr="00386B78" w:rsidRDefault="001517BA" w:rsidP="00640F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AFADE2A" w14:textId="77777777" w:rsidR="001517BA" w:rsidRPr="00386B78" w:rsidRDefault="001517BA" w:rsidP="00640F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B78" w:rsidRPr="00386B78" w14:paraId="1AC9DBAB" w14:textId="77777777" w:rsidTr="00640F3A">
        <w:tc>
          <w:tcPr>
            <w:tcW w:w="2547" w:type="dxa"/>
          </w:tcPr>
          <w:p w14:paraId="3968148E" w14:textId="77777777" w:rsidR="001517BA" w:rsidRPr="00386B78" w:rsidRDefault="001517B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Narzędzia analityczno-symulacyjne dla przedsiębiorców i obywateli, pokazujące poziomy PEM w dowolnie wybranym punkcie na terytorium kraju</w:t>
            </w:r>
          </w:p>
        </w:tc>
        <w:tc>
          <w:tcPr>
            <w:tcW w:w="1701" w:type="dxa"/>
          </w:tcPr>
          <w:p w14:paraId="4472DA1F" w14:textId="77777777" w:rsidR="001517BA" w:rsidRPr="00386B78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386B78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386B78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68E96AAB" w14:textId="0526A81D" w:rsidR="00F51A36" w:rsidRPr="00386B78" w:rsidRDefault="00F51A36" w:rsidP="00E75C53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5DAE0F37" w14:textId="77777777" w:rsidR="001517BA" w:rsidRPr="00386B78" w:rsidRDefault="001517BA" w:rsidP="00640F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5AE4CEC" w14:textId="58520D0A" w:rsidR="001517BA" w:rsidRPr="00386B78" w:rsidRDefault="001517BA" w:rsidP="00413C10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Do celów develope</w:t>
            </w:r>
            <w:r w:rsidR="00413C10" w:rsidRPr="00386B78">
              <w:rPr>
                <w:rFonts w:ascii="Arial" w:hAnsi="Arial" w:cs="Arial"/>
                <w:sz w:val="20"/>
                <w:szCs w:val="20"/>
              </w:rPr>
              <w:t>rskich i testowych, zanim został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zakupiony sprzęt komputerowy, wykorzystywane </w:t>
            </w:r>
            <w:r w:rsidR="00413C10" w:rsidRPr="00386B78">
              <w:rPr>
                <w:rFonts w:ascii="Arial" w:hAnsi="Arial" w:cs="Arial"/>
                <w:sz w:val="20"/>
                <w:szCs w:val="20"/>
              </w:rPr>
              <w:t>było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aktualne środowisko serwerowe pozyskane w ramach projektu PIAST w ramach Działania 2.3 Programu Operacyjnego Innowacyjna Gospodarka. Ze</w:t>
            </w:r>
            <w:r w:rsidR="00924BCF" w:rsidRPr="00386B78">
              <w:rPr>
                <w:rFonts w:ascii="Arial" w:hAnsi="Arial" w:cs="Arial"/>
                <w:sz w:val="20"/>
                <w:szCs w:val="20"/>
              </w:rPr>
              <w:t> 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względu na inny obszar merytoryczny obu projektów i brak komplementarności rozwiązań nie </w:t>
            </w:r>
            <w:r w:rsidR="00413C10" w:rsidRPr="00386B78">
              <w:rPr>
                <w:rFonts w:ascii="Arial" w:hAnsi="Arial" w:cs="Arial"/>
                <w:sz w:val="20"/>
                <w:szCs w:val="20"/>
              </w:rPr>
              <w:t>była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planowana integracja obu systemów, lecz jedynie tymczasowe wykorzystanie infrastruktury sprzętowej projektu PIAST do czasu zakupu sprzętu komputerowego dedykowanego dla projektu SI2PEM</w:t>
            </w:r>
            <w:r w:rsidR="00924BCF" w:rsidRPr="00386B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CFCF21B" w14:textId="77777777" w:rsidR="000E0237" w:rsidRPr="00386B78" w:rsidRDefault="00BB059E" w:rsidP="00F2534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6B7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6B7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6B7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6B78">
        <w:rPr>
          <w:rFonts w:ascii="Arial" w:hAnsi="Arial" w:cs="Arial"/>
        </w:rPr>
        <w:t xml:space="preserve"> </w:t>
      </w:r>
      <w:r w:rsidR="00B41415" w:rsidRPr="00386B78">
        <w:rPr>
          <w:rFonts w:ascii="Arial" w:hAnsi="Arial" w:cs="Arial"/>
        </w:rPr>
        <w:t xml:space="preserve"> </w:t>
      </w:r>
    </w:p>
    <w:p w14:paraId="1EE0DE7C" w14:textId="77777777" w:rsidR="00CF2E64" w:rsidRPr="00386B78" w:rsidRDefault="00CF2E64" w:rsidP="000E0237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386B7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86B78" w:rsidRPr="00386B78" w14:paraId="53E5F029" w14:textId="77777777" w:rsidTr="001517BA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33C40B5F" w14:textId="77777777" w:rsidR="00322614" w:rsidRPr="00386B7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02F50A91" w14:textId="77777777" w:rsidR="00322614" w:rsidRPr="00386B7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0DA301FE" w14:textId="77777777" w:rsidR="00322614" w:rsidRPr="00386B7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41903249" w14:textId="77777777" w:rsidR="00322614" w:rsidRPr="00386B78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6B7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86B78" w:rsidRPr="00386B78" w14:paraId="04DC1B6B" w14:textId="77777777" w:rsidTr="001517BA">
        <w:tc>
          <w:tcPr>
            <w:tcW w:w="3153" w:type="dxa"/>
          </w:tcPr>
          <w:p w14:paraId="373B4656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 xml:space="preserve">Zagrożenie "konkurencją" wobec innych projektów i przeciążeniem </w:t>
            </w:r>
            <w:r w:rsidRPr="00386B78">
              <w:rPr>
                <w:rFonts w:ascii="Arial" w:hAnsi="Arial" w:cs="Arial"/>
                <w:sz w:val="20"/>
              </w:rPr>
              <w:lastRenderedPageBreak/>
              <w:t>zasobów zaangażowanych w Projekt</w:t>
            </w:r>
          </w:p>
        </w:tc>
        <w:tc>
          <w:tcPr>
            <w:tcW w:w="1691" w:type="dxa"/>
          </w:tcPr>
          <w:p w14:paraId="78062B3A" w14:textId="77777777" w:rsidR="001517BA" w:rsidRPr="00386B78" w:rsidRDefault="001517BA" w:rsidP="009F09BF">
            <w:pPr>
              <w:rPr>
                <w:rFonts w:ascii="Arial" w:hAnsi="Arial" w:cs="Arial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Duża</w:t>
            </w:r>
          </w:p>
        </w:tc>
        <w:tc>
          <w:tcPr>
            <w:tcW w:w="2294" w:type="dxa"/>
          </w:tcPr>
          <w:p w14:paraId="1FB5560B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002ADFDD" w14:textId="77777777" w:rsidR="00941E37" w:rsidRPr="00386B78" w:rsidRDefault="001517B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Wprowadzono działania zaradcze: reorganizację </w:t>
            </w:r>
            <w:r w:rsidRPr="00386B7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prac w innych projektach i przeniesienie pracowników do projektu SI2PEM. Planowane jest również zwiększenie zatrudnienia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B57E6C9" w14:textId="77777777" w:rsidR="00676068" w:rsidRPr="00386B78" w:rsidRDefault="00397184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Dzięki zwiększeniu </w:t>
            </w:r>
            <w:r w:rsidR="00CF7A5B" w:rsidRPr="00386B78">
              <w:rPr>
                <w:rFonts w:ascii="Arial" w:hAnsi="Arial" w:cs="Arial"/>
                <w:sz w:val="20"/>
                <w:szCs w:val="20"/>
              </w:rPr>
              <w:t xml:space="preserve">liczby 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pracowników zaangażowanych w realizacje projektu prace </w:t>
            </w:r>
            <w:r w:rsidR="00941E37" w:rsidRPr="00386B78">
              <w:rPr>
                <w:rFonts w:ascii="Arial" w:hAnsi="Arial" w:cs="Arial"/>
                <w:sz w:val="20"/>
                <w:szCs w:val="20"/>
              </w:rPr>
              <w:t>są wykonywane zgodnie z harmonogramem projektu.</w:t>
            </w:r>
          </w:p>
          <w:p w14:paraId="0AB2B526" w14:textId="75CE6DD1" w:rsidR="001517BA" w:rsidRPr="00386B78" w:rsidRDefault="001517BA" w:rsidP="00676068">
            <w:pPr>
              <w:spacing w:before="60" w:after="60"/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Brak zmian w zakresie ryzyka w stosunku do poprzedniego okresu sprawozdawczego.</w:t>
            </w:r>
          </w:p>
        </w:tc>
      </w:tr>
      <w:tr w:rsidR="00386B78" w:rsidRPr="00386B78" w14:paraId="111A2EA0" w14:textId="77777777" w:rsidTr="001517BA">
        <w:tc>
          <w:tcPr>
            <w:tcW w:w="3153" w:type="dxa"/>
          </w:tcPr>
          <w:p w14:paraId="0B149C95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pacing w:val="-6"/>
                <w:sz w:val="20"/>
              </w:rPr>
              <w:lastRenderedPageBreak/>
              <w:t>Problemy z zapewnieniem wymaganych powiązań kooperacyjnych z innymi systemami/bazami danych</w:t>
            </w:r>
          </w:p>
        </w:tc>
        <w:tc>
          <w:tcPr>
            <w:tcW w:w="1691" w:type="dxa"/>
          </w:tcPr>
          <w:p w14:paraId="30C7C943" w14:textId="77777777" w:rsidR="001517BA" w:rsidRPr="00386B78" w:rsidRDefault="001517BA" w:rsidP="009F09BF">
            <w:pPr>
              <w:rPr>
                <w:rFonts w:ascii="Arial" w:hAnsi="Arial" w:cs="Arial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94" w:type="dxa"/>
          </w:tcPr>
          <w:p w14:paraId="7B80CD9A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175C8AFA" w14:textId="6ED516DC" w:rsidR="001517BA" w:rsidRPr="00386B78" w:rsidRDefault="001517BA" w:rsidP="000E02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Uzgodnienia z gestorami systemów/baz danych. </w:t>
            </w:r>
          </w:p>
          <w:p w14:paraId="1B43D2B4" w14:textId="2CC7042F" w:rsidR="00941E37" w:rsidRPr="00386B78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Prowadzenie kampanii informacyjnej</w:t>
            </w:r>
            <w:r w:rsidR="00397184" w:rsidRPr="00386B78">
              <w:rPr>
                <w:rFonts w:ascii="Arial" w:hAnsi="Arial" w:cs="Arial"/>
                <w:sz w:val="20"/>
                <w:szCs w:val="20"/>
              </w:rPr>
              <w:t>.</w:t>
            </w:r>
            <w:r w:rsidR="00676068"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0237" w:rsidRPr="00386B78">
              <w:rPr>
                <w:rFonts w:ascii="Arial" w:hAnsi="Arial" w:cs="Arial"/>
                <w:sz w:val="20"/>
                <w:szCs w:val="20"/>
              </w:rPr>
              <w:t>Wzrost prawdopodobieństwa wystąpienia ryzyka w</w:t>
            </w:r>
            <w:r w:rsidR="00884968" w:rsidRPr="00386B7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386B78">
              <w:rPr>
                <w:rFonts w:ascii="Arial" w:hAnsi="Arial" w:cs="Arial"/>
                <w:sz w:val="20"/>
                <w:szCs w:val="20"/>
              </w:rPr>
              <w:t>związku z istotnymi ograniczeniami różnych form kontaktów, w tym bezpośrednich, wynikającymi z pan</w:t>
            </w:r>
            <w:r w:rsidR="00B378F9" w:rsidRPr="00386B78">
              <w:rPr>
                <w:rFonts w:ascii="Arial" w:hAnsi="Arial" w:cs="Arial"/>
                <w:sz w:val="20"/>
                <w:szCs w:val="20"/>
              </w:rPr>
              <w:t xml:space="preserve">demii. </w:t>
            </w:r>
          </w:p>
          <w:p w14:paraId="544C6060" w14:textId="13F70C73" w:rsidR="001517BA" w:rsidRPr="00386B78" w:rsidRDefault="00941E37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Brak zmian w zakresie ryzyka w stosunku do </w:t>
            </w: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poprzedniego okresu sprawozdawczego.</w:t>
            </w:r>
          </w:p>
        </w:tc>
      </w:tr>
      <w:tr w:rsidR="00386B78" w:rsidRPr="00386B78" w14:paraId="246D54ED" w14:textId="77777777" w:rsidTr="001517BA">
        <w:tc>
          <w:tcPr>
            <w:tcW w:w="3153" w:type="dxa"/>
          </w:tcPr>
          <w:p w14:paraId="347B6B3F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lastRenderedPageBreak/>
              <w:t>Brak dostatecznych zasobów finansowych</w:t>
            </w:r>
          </w:p>
        </w:tc>
        <w:tc>
          <w:tcPr>
            <w:tcW w:w="1691" w:type="dxa"/>
          </w:tcPr>
          <w:p w14:paraId="7DCE0F6C" w14:textId="77777777" w:rsidR="001517BA" w:rsidRPr="00386B78" w:rsidRDefault="001517BA" w:rsidP="009F09BF">
            <w:pPr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6532A3A2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5287DA79" w14:textId="77777777" w:rsidR="00941E37" w:rsidRPr="00386B78" w:rsidRDefault="001517BA" w:rsidP="00AE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>Właściwe planowanie wydatków i bieżąca analiza dostępnych środków.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7C44EE" w14:textId="77777777" w:rsidR="001517BA" w:rsidRPr="00386B78" w:rsidRDefault="001517BA" w:rsidP="00AE6068">
            <w:pPr>
              <w:spacing w:before="60" w:after="60"/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</w:rPr>
              <w:t xml:space="preserve">Działania na rzecz pozyskania środków. </w:t>
            </w:r>
            <w:r w:rsidRPr="00386B78">
              <w:rPr>
                <w:rFonts w:ascii="Arial" w:hAnsi="Arial" w:cs="Arial"/>
                <w:sz w:val="20"/>
                <w:szCs w:val="20"/>
              </w:rPr>
              <w:t>Brak zmian w zakresie ryzyka w stosunku do poprzedniego okresu sprawozdawczego.</w:t>
            </w:r>
          </w:p>
        </w:tc>
      </w:tr>
      <w:tr w:rsidR="00386B78" w:rsidRPr="00386B78" w14:paraId="059A15AE" w14:textId="77777777" w:rsidTr="001517BA">
        <w:tc>
          <w:tcPr>
            <w:tcW w:w="3153" w:type="dxa"/>
          </w:tcPr>
          <w:p w14:paraId="115FC252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>Rozwiązanie Porozumienia o dofinansowanie ze względu na niezgodność realizacji projektu z Wnioskiem o dofinansowanie i Studium Wykonalności</w:t>
            </w:r>
          </w:p>
        </w:tc>
        <w:tc>
          <w:tcPr>
            <w:tcW w:w="1691" w:type="dxa"/>
          </w:tcPr>
          <w:p w14:paraId="21AE7C70" w14:textId="77777777" w:rsidR="001517BA" w:rsidRPr="00386B78" w:rsidRDefault="001517BA" w:rsidP="009F09BF">
            <w:pPr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DE89474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1E93EFB9" w14:textId="343EEC93" w:rsidR="001517BA" w:rsidRPr="00386B78" w:rsidRDefault="001517BA" w:rsidP="000E0237">
            <w:pPr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Przestrzeganie harmonogramu realizacji projektu, bieżące monitorowanie rzeczowych postępów prowadzonych działań zgodnie z harmonogramem i kosztorysem projektu. </w:t>
            </w:r>
          </w:p>
          <w:p w14:paraId="13480F63" w14:textId="77777777" w:rsidR="00E75C53" w:rsidRPr="00386B78" w:rsidRDefault="001517BA" w:rsidP="00E75C53">
            <w:pPr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</w:rPr>
              <w:t>Informowanie na bieżąco Instytucji Pośredniczącej o wszelkich zmianach w realizacji projektu wraz z uzasadnieniem oraz konsultacja merytorycznego zakresu projektu z użytkownikiem końcowym.</w:t>
            </w:r>
            <w:r w:rsidR="00397184" w:rsidRPr="00386B78">
              <w:rPr>
                <w:rFonts w:ascii="Arial" w:hAnsi="Arial" w:cs="Arial"/>
                <w:sz w:val="20"/>
              </w:rPr>
              <w:t xml:space="preserve"> </w:t>
            </w:r>
          </w:p>
          <w:p w14:paraId="742402E4" w14:textId="77777777" w:rsidR="00E75C53" w:rsidRPr="00386B78" w:rsidRDefault="00E75C53" w:rsidP="00E75C53">
            <w:pPr>
              <w:rPr>
                <w:rFonts w:ascii="Arial" w:hAnsi="Arial" w:cs="Arial"/>
                <w:sz w:val="20"/>
              </w:rPr>
            </w:pPr>
          </w:p>
          <w:p w14:paraId="2C604DEC" w14:textId="4E82FADE" w:rsidR="001517BA" w:rsidRPr="00386B78" w:rsidRDefault="00E75C53" w:rsidP="00E75C53">
            <w:pPr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Brak zmian w zakresie ryzyka w stosunku do </w:t>
            </w: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poprzedniego okresu sprawozdawczego.</w:t>
            </w:r>
          </w:p>
        </w:tc>
      </w:tr>
      <w:tr w:rsidR="00386B78" w:rsidRPr="00386B78" w14:paraId="1BBB2A02" w14:textId="77777777" w:rsidTr="001517BA">
        <w:tc>
          <w:tcPr>
            <w:tcW w:w="3153" w:type="dxa"/>
          </w:tcPr>
          <w:p w14:paraId="033E5782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lastRenderedPageBreak/>
              <w:t>Opóźnienia w pozyskiwaniu sprzętu i oprogramowania wynikające z konieczności stosowania Ustawy PZP</w:t>
            </w:r>
          </w:p>
        </w:tc>
        <w:tc>
          <w:tcPr>
            <w:tcW w:w="1691" w:type="dxa"/>
          </w:tcPr>
          <w:p w14:paraId="09AFB88C" w14:textId="6D0699A4" w:rsidR="001517BA" w:rsidRPr="00386B78" w:rsidRDefault="00941E37" w:rsidP="009F09BF">
            <w:pPr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Małe</w:t>
            </w:r>
          </w:p>
        </w:tc>
        <w:tc>
          <w:tcPr>
            <w:tcW w:w="2294" w:type="dxa"/>
          </w:tcPr>
          <w:p w14:paraId="35478DAE" w14:textId="31412B67" w:rsidR="001517BA" w:rsidRPr="00386B78" w:rsidRDefault="00941E3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4B933E7B" w14:textId="77777777" w:rsidR="001517BA" w:rsidRPr="00386B78" w:rsidRDefault="00941E37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Ze względu na zakończoną procedurę dużych zakupów w projekcie ryzyko uległo zmianie na małe. </w:t>
            </w:r>
          </w:p>
          <w:p w14:paraId="15132D3D" w14:textId="11330C2E" w:rsidR="00E75C53" w:rsidRPr="00386B78" w:rsidRDefault="00E75C53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Brak zmian w zakresie ryzyka w stosunku do poprzedniego okresu sprawozdawczego.</w:t>
            </w:r>
          </w:p>
        </w:tc>
      </w:tr>
      <w:tr w:rsidR="00386B78" w:rsidRPr="00386B78" w14:paraId="599A029D" w14:textId="77777777" w:rsidTr="001517BA">
        <w:tc>
          <w:tcPr>
            <w:tcW w:w="3153" w:type="dxa"/>
          </w:tcPr>
          <w:p w14:paraId="76474A54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 xml:space="preserve">Niestosowanie założeń planu komunikacji i informacji na temat projektu </w:t>
            </w:r>
          </w:p>
        </w:tc>
        <w:tc>
          <w:tcPr>
            <w:tcW w:w="1691" w:type="dxa"/>
          </w:tcPr>
          <w:p w14:paraId="27FB7888" w14:textId="77777777" w:rsidR="001517BA" w:rsidRPr="00386B78" w:rsidRDefault="001517BA" w:rsidP="009F09BF">
            <w:pPr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294" w:type="dxa"/>
          </w:tcPr>
          <w:p w14:paraId="754BCCF3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7EAE38AC" w14:textId="77777777" w:rsidR="00E75C53" w:rsidRPr="00386B78" w:rsidRDefault="001517BA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 xml:space="preserve">Opracowanie planu komunikacji zawierającego identyfikację kluczowych grup interesariuszy. </w:t>
            </w:r>
          </w:p>
          <w:p w14:paraId="7802746B" w14:textId="7CC11F35" w:rsidR="001517BA" w:rsidRPr="00386B78" w:rsidRDefault="00941E37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Brak zmian w zakresie ryzyka w stosunku do poprzedniego okresu sprawozdawczego.</w:t>
            </w:r>
          </w:p>
          <w:p w14:paraId="1F302E7C" w14:textId="77777777" w:rsidR="00E75C53" w:rsidRPr="00386B78" w:rsidRDefault="001517BA" w:rsidP="00E75C5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 xml:space="preserve">Seria </w:t>
            </w:r>
            <w:r w:rsidR="00397184" w:rsidRPr="00386B78">
              <w:rPr>
                <w:rFonts w:ascii="Arial" w:hAnsi="Arial" w:cs="Arial"/>
                <w:sz w:val="20"/>
              </w:rPr>
              <w:t xml:space="preserve">szkoleń </w:t>
            </w:r>
            <w:r w:rsidRPr="00386B78">
              <w:rPr>
                <w:rFonts w:ascii="Arial" w:hAnsi="Arial" w:cs="Arial"/>
                <w:sz w:val="20"/>
              </w:rPr>
              <w:t>informacyjno-szkoleniowych.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E37" w:rsidRPr="00386B78">
              <w:rPr>
                <w:rFonts w:ascii="Arial" w:hAnsi="Arial" w:cs="Arial"/>
                <w:sz w:val="20"/>
                <w:szCs w:val="20"/>
              </w:rPr>
              <w:t>Spotkania informacyjno-szkoleniowe odbywają się poprzez platformę e-learningową IŁ –PIB.</w:t>
            </w:r>
            <w:r w:rsidR="00676068"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392DAD" w14:textId="53027F80" w:rsidR="001517BA" w:rsidRPr="00386B78" w:rsidRDefault="00967E05" w:rsidP="00E75C5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Zmiana w zakresie ryzyka</w:t>
            </w:r>
            <w:r w:rsidR="000E0237"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w stosunku do poprzedniego okresu </w:t>
            </w: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sprawozdawczego</w:t>
            </w:r>
            <w:r w:rsidR="00E75C53" w:rsidRPr="00386B78">
              <w:rPr>
                <w:rFonts w:ascii="Arial" w:hAnsi="Arial" w:cs="Arial"/>
                <w:sz w:val="20"/>
                <w:szCs w:val="20"/>
              </w:rPr>
              <w:t>- wydłużenie okresu realizacji szkoleń.</w:t>
            </w:r>
          </w:p>
        </w:tc>
      </w:tr>
      <w:tr w:rsidR="00386B78" w:rsidRPr="00386B78" w14:paraId="509BE481" w14:textId="77777777" w:rsidTr="001517BA">
        <w:tc>
          <w:tcPr>
            <w:tcW w:w="3153" w:type="dxa"/>
          </w:tcPr>
          <w:p w14:paraId="046326CB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lastRenderedPageBreak/>
              <w:t>Możliwa „konkurencja” z projektami jednostek administracji państwowej związanymi z tematyką PEM</w:t>
            </w:r>
          </w:p>
        </w:tc>
        <w:tc>
          <w:tcPr>
            <w:tcW w:w="1691" w:type="dxa"/>
          </w:tcPr>
          <w:p w14:paraId="6AD3E07B" w14:textId="77777777" w:rsidR="001517BA" w:rsidRPr="00386B78" w:rsidRDefault="001517BA" w:rsidP="009F09BF">
            <w:pPr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D57CB5D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0C219238" w14:textId="77777777" w:rsidR="001517BA" w:rsidRPr="00386B78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</w:rPr>
              <w:t>Prowadzenie rozmów z jednostkami administracji państwowej.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  <w:p w14:paraId="21E2330F" w14:textId="77777777" w:rsidR="00E75C53" w:rsidRPr="00386B78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>Prowadzenie kampanii informacyjnej.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F3233D" w14:textId="7DCD8CF4" w:rsidR="001517BA" w:rsidRPr="00386B78" w:rsidRDefault="001517BA" w:rsidP="00676068">
            <w:pPr>
              <w:spacing w:before="60" w:after="60"/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Brak zmian w zakresie ryzyka w stosunku do poprzedniego okresu sprawozdawczego.</w:t>
            </w:r>
          </w:p>
        </w:tc>
      </w:tr>
      <w:tr w:rsidR="00386B78" w:rsidRPr="00386B78" w14:paraId="3051100F" w14:textId="77777777" w:rsidTr="001517BA">
        <w:tc>
          <w:tcPr>
            <w:tcW w:w="3153" w:type="dxa"/>
          </w:tcPr>
          <w:p w14:paraId="079A00C2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691" w:type="dxa"/>
          </w:tcPr>
          <w:p w14:paraId="3A1BC86D" w14:textId="77777777" w:rsidR="001517BA" w:rsidRPr="00386B78" w:rsidRDefault="001517BA" w:rsidP="009F09BF">
            <w:pPr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6E4CF0B" w14:textId="77777777" w:rsidR="001517BA" w:rsidRPr="00386B78" w:rsidRDefault="001517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2706633B" w14:textId="77777777" w:rsidR="00E75C53" w:rsidRPr="00386B78" w:rsidRDefault="001517BA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>Prowadzenie bieżących działań mających na celu efektywną motywację zespołu projektowego.</w:t>
            </w:r>
            <w:r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2E7C3D9" w14:textId="3B19A5A7" w:rsidR="001517BA" w:rsidRPr="00386B78" w:rsidRDefault="001517BA" w:rsidP="006B62CB">
            <w:pPr>
              <w:spacing w:before="60" w:after="60"/>
              <w:rPr>
                <w:rFonts w:ascii="Arial" w:hAnsi="Arial" w:cs="Aria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 w:rsidRPr="00386B78">
              <w:rPr>
                <w:rFonts w:ascii="Arial" w:hAnsi="Arial" w:cs="Arial"/>
                <w:sz w:val="20"/>
                <w:szCs w:val="20"/>
              </w:rPr>
              <w:t> </w:t>
            </w:r>
            <w:r w:rsidRPr="00386B78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386B78" w:rsidRPr="00386B78" w14:paraId="77083880" w14:textId="77777777" w:rsidTr="001517BA">
        <w:tc>
          <w:tcPr>
            <w:tcW w:w="3153" w:type="dxa"/>
          </w:tcPr>
          <w:p w14:paraId="30E1DA14" w14:textId="77777777" w:rsidR="001517BA" w:rsidRPr="00386B78" w:rsidRDefault="001517BA" w:rsidP="00C1106C">
            <w:pPr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</w:rPr>
              <w:t>Opóźnienia w uruchomieniu pełnej funkcjonalności usług wynikające z działań przyszłych użytkowników</w:t>
            </w:r>
          </w:p>
        </w:tc>
        <w:tc>
          <w:tcPr>
            <w:tcW w:w="1691" w:type="dxa"/>
          </w:tcPr>
          <w:p w14:paraId="637807CE" w14:textId="77777777" w:rsidR="001517BA" w:rsidRPr="00386B78" w:rsidRDefault="001517BA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ED0622D" w14:textId="19A01333" w:rsidR="001517BA" w:rsidRPr="00386B78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64041A37" w14:textId="77777777" w:rsidR="00E75C53" w:rsidRPr="00386B78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</w:rPr>
              <w:t>Stała współpraca z</w:t>
            </w:r>
            <w:r w:rsidR="00884968" w:rsidRPr="00386B78">
              <w:rPr>
                <w:rFonts w:ascii="Arial" w:hAnsi="Arial" w:cs="Arial"/>
                <w:sz w:val="20"/>
              </w:rPr>
              <w:t> </w:t>
            </w:r>
            <w:r w:rsidRPr="00386B78">
              <w:rPr>
                <w:rFonts w:ascii="Arial" w:hAnsi="Arial" w:cs="Arial"/>
                <w:sz w:val="20"/>
              </w:rPr>
              <w:t xml:space="preserve">przyszłymi użytkownikami w celu doprecyzowania wymagań i niwelowania wszelkich utrudnień. </w:t>
            </w:r>
          </w:p>
          <w:p w14:paraId="6B5300E2" w14:textId="0C6E9656" w:rsidR="001517BA" w:rsidRPr="00386B78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Brak zmian w zakresie ryzyka w</w:t>
            </w:r>
            <w:r w:rsidR="00884968" w:rsidRPr="00386B78">
              <w:rPr>
                <w:rFonts w:ascii="Arial" w:hAnsi="Arial" w:cs="Arial"/>
                <w:sz w:val="20"/>
                <w:szCs w:val="20"/>
              </w:rPr>
              <w:t> </w:t>
            </w:r>
            <w:r w:rsidRPr="00386B78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11F9F364" w14:textId="7DC317CA" w:rsidR="001517BA" w:rsidRPr="00386B78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 xml:space="preserve">Zapewnienie możliwie najwcześniej udziału użytkowników w zapoznawaniu się z produktami dla nich przeznaczonymi. </w:t>
            </w:r>
            <w:r w:rsidR="000E0237" w:rsidRPr="00386B78">
              <w:rPr>
                <w:rFonts w:ascii="Arial" w:hAnsi="Arial" w:cs="Arial"/>
                <w:sz w:val="20"/>
                <w:szCs w:val="20"/>
              </w:rPr>
              <w:t xml:space="preserve">z pandemii. </w:t>
            </w:r>
          </w:p>
          <w:p w14:paraId="6A55C234" w14:textId="4EF368C7" w:rsidR="00397184" w:rsidRPr="00386B78" w:rsidRDefault="00E75C53" w:rsidP="0067606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Brak zmian w zakresie ryzyka w stosunku do poprzedniego okresu sprawozdawczego.</w:t>
            </w:r>
          </w:p>
        </w:tc>
      </w:tr>
      <w:tr w:rsidR="00386B78" w:rsidRPr="00386B78" w14:paraId="348E4459" w14:textId="77777777" w:rsidTr="001517BA">
        <w:tc>
          <w:tcPr>
            <w:tcW w:w="3153" w:type="dxa"/>
          </w:tcPr>
          <w:p w14:paraId="116C911F" w14:textId="4B986169" w:rsidR="00F97787" w:rsidRPr="00386B78" w:rsidRDefault="00F97787" w:rsidP="00C1106C">
            <w:pPr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</w:rPr>
              <w:lastRenderedPageBreak/>
              <w:t>Opóźnienie w uruchomieniu pełnej funkcjonalności systemu wynikające z braku w pełni poprawnych danych wejściowych pozyskiwanych od operatorów</w:t>
            </w:r>
          </w:p>
        </w:tc>
        <w:tc>
          <w:tcPr>
            <w:tcW w:w="1691" w:type="dxa"/>
          </w:tcPr>
          <w:p w14:paraId="0D08073D" w14:textId="77777777" w:rsidR="00F97787" w:rsidRPr="00386B78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80A72C0" w14:textId="70C97470" w:rsidR="00F97787" w:rsidRPr="00386B78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76FA94BA" w14:textId="3CBD38BA" w:rsidR="00F97787" w:rsidRPr="00386B78" w:rsidRDefault="00F97787" w:rsidP="00676068">
            <w:pPr>
              <w:spacing w:before="60"/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</w:rPr>
              <w:t>Podjęte zostaną działania komunikacyjne i telekonferencje z operatorami telekomunikacyjnymi dostarczającymi dane do systemu w</w:t>
            </w:r>
            <w:r w:rsidR="00884968" w:rsidRPr="00386B78">
              <w:rPr>
                <w:rFonts w:ascii="Arial" w:hAnsi="Arial" w:cs="Arial"/>
                <w:sz w:val="20"/>
              </w:rPr>
              <w:t> </w:t>
            </w:r>
            <w:r w:rsidRPr="00386B78">
              <w:rPr>
                <w:rFonts w:ascii="Arial" w:hAnsi="Arial" w:cs="Arial"/>
                <w:sz w:val="20"/>
              </w:rPr>
              <w:t>celu wyjaśnienia i</w:t>
            </w:r>
            <w:r w:rsidR="00884968" w:rsidRPr="00386B78">
              <w:rPr>
                <w:rFonts w:ascii="Arial" w:hAnsi="Arial" w:cs="Arial"/>
                <w:sz w:val="20"/>
              </w:rPr>
              <w:t> </w:t>
            </w:r>
            <w:r w:rsidRPr="00386B78">
              <w:rPr>
                <w:rFonts w:ascii="Arial" w:hAnsi="Arial" w:cs="Arial"/>
                <w:sz w:val="20"/>
              </w:rPr>
              <w:t>zapewnienia sposobów prawidłowego dostarczania kompletu danych</w:t>
            </w:r>
            <w:r w:rsidR="00676068" w:rsidRPr="00386B78">
              <w:rPr>
                <w:rFonts w:ascii="Arial" w:hAnsi="Arial" w:cs="Arial"/>
                <w:sz w:val="20"/>
              </w:rPr>
              <w:t>.</w:t>
            </w:r>
          </w:p>
          <w:p w14:paraId="13E0DD16" w14:textId="655A2968" w:rsidR="0097655B" w:rsidRPr="00386B78" w:rsidRDefault="00E75C53" w:rsidP="0067606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Brak zmian w zakresie ryzyka w stosunku do poprzedniego okresu sprawozdawczego.</w:t>
            </w:r>
          </w:p>
        </w:tc>
      </w:tr>
      <w:tr w:rsidR="00386B78" w:rsidRPr="00386B78" w14:paraId="2DE4CC3F" w14:textId="77777777" w:rsidTr="001517BA">
        <w:tc>
          <w:tcPr>
            <w:tcW w:w="3153" w:type="dxa"/>
          </w:tcPr>
          <w:p w14:paraId="50E0DC61" w14:textId="77777777" w:rsidR="00F97787" w:rsidRPr="00386B78" w:rsidRDefault="00F97787" w:rsidP="00C1106C">
            <w:pPr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Opóźnienie w dostarczeniu produktów projektu</w:t>
            </w:r>
          </w:p>
        </w:tc>
        <w:tc>
          <w:tcPr>
            <w:tcW w:w="1691" w:type="dxa"/>
          </w:tcPr>
          <w:p w14:paraId="5D734B1B" w14:textId="77777777" w:rsidR="00F97787" w:rsidRPr="00386B78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 xml:space="preserve">Duże </w:t>
            </w:r>
          </w:p>
        </w:tc>
        <w:tc>
          <w:tcPr>
            <w:tcW w:w="2294" w:type="dxa"/>
          </w:tcPr>
          <w:p w14:paraId="2B152ACB" w14:textId="5A33B4D6" w:rsidR="00F97787" w:rsidRPr="00386B78" w:rsidRDefault="00E75C53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66177B5F" w14:textId="070AFC58" w:rsidR="00F97787" w:rsidRPr="00386B78" w:rsidRDefault="00E75C53" w:rsidP="00E75C5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Ze względu na podpisany Aneks do umowy z</w:t>
            </w:r>
            <w:r w:rsidR="00F97787" w:rsidRPr="00386B78">
              <w:rPr>
                <w:rFonts w:ascii="Arial" w:hAnsi="Arial" w:cs="Arial"/>
                <w:sz w:val="20"/>
                <w:szCs w:val="20"/>
              </w:rPr>
              <w:t>miana w zakresie ry</w:t>
            </w:r>
            <w:r w:rsidR="00F97787" w:rsidRPr="00386B78">
              <w:rPr>
                <w:rFonts w:ascii="Arial" w:hAnsi="Arial" w:cs="Arial"/>
                <w:sz w:val="20"/>
                <w:szCs w:val="20"/>
              </w:rPr>
              <w:lastRenderedPageBreak/>
              <w:t>zyka w</w:t>
            </w:r>
            <w:r w:rsidR="00884968" w:rsidRPr="00386B78">
              <w:rPr>
                <w:rFonts w:ascii="Arial" w:hAnsi="Arial" w:cs="Arial"/>
                <w:sz w:val="20"/>
                <w:szCs w:val="20"/>
              </w:rPr>
              <w:t> </w:t>
            </w:r>
            <w:r w:rsidR="00F97787" w:rsidRPr="00386B78">
              <w:rPr>
                <w:rFonts w:ascii="Arial" w:hAnsi="Arial" w:cs="Arial"/>
                <w:sz w:val="20"/>
                <w:szCs w:val="20"/>
              </w:rPr>
              <w:t>stosunku do popr</w:t>
            </w:r>
            <w:r w:rsidRPr="00386B78">
              <w:rPr>
                <w:rFonts w:ascii="Arial" w:hAnsi="Arial" w:cs="Arial"/>
                <w:sz w:val="20"/>
                <w:szCs w:val="20"/>
              </w:rPr>
              <w:t>zedniego okresu sprawozdawczego.</w:t>
            </w:r>
          </w:p>
        </w:tc>
      </w:tr>
      <w:tr w:rsidR="00386B78" w:rsidRPr="00386B78" w14:paraId="5D00CCB7" w14:textId="77777777" w:rsidTr="001517BA">
        <w:tc>
          <w:tcPr>
            <w:tcW w:w="3153" w:type="dxa"/>
          </w:tcPr>
          <w:p w14:paraId="3D7C5378" w14:textId="77777777" w:rsidR="00CE6CD4" w:rsidRPr="00386B78" w:rsidRDefault="00CE6CD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lastRenderedPageBreak/>
              <w:t>Brak możliwości zlecenia zamówienia zewnętrznego na sporządzenie analizy z Zadania 5</w:t>
            </w:r>
          </w:p>
        </w:tc>
        <w:tc>
          <w:tcPr>
            <w:tcW w:w="1691" w:type="dxa"/>
          </w:tcPr>
          <w:p w14:paraId="659B007A" w14:textId="77777777" w:rsidR="00CE6CD4" w:rsidRPr="00386B78" w:rsidRDefault="00CE6CD4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2294" w:type="dxa"/>
          </w:tcPr>
          <w:p w14:paraId="066E3904" w14:textId="77777777" w:rsidR="00CE6CD4" w:rsidRPr="00386B78" w:rsidRDefault="00CE6CD4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86B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42163969" w14:textId="77777777" w:rsidR="00CE6CD4" w:rsidRPr="00386B78" w:rsidRDefault="00CE6CD4" w:rsidP="00B838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</w:rPr>
              <w:t xml:space="preserve">Ogólne spowolnienie postępowań przetargowych spowodowane pandemią koronawirusa oraz niskie zainteresowanie potencjalnych wykonawców realizacją zamówienia może uniemożliwić jego realizację przez podmiot zewnętrzny. W przypadku braku możliwości realizacji analizy przez podmiot zewnętrzny, taka analiza zostanie sporządzona przez zespoły projektowe w Departamencie Telekomunikacji i Instytucie </w:t>
            </w:r>
            <w:r w:rsidR="00C86F15" w:rsidRPr="00386B78">
              <w:rPr>
                <w:rFonts w:ascii="Arial" w:hAnsi="Arial" w:cs="Arial"/>
                <w:sz w:val="20"/>
              </w:rPr>
              <w:t>Łączności</w:t>
            </w:r>
            <w:r w:rsidRPr="00386B78">
              <w:rPr>
                <w:rFonts w:ascii="Arial" w:hAnsi="Arial" w:cs="Arial"/>
                <w:sz w:val="20"/>
              </w:rPr>
              <w:t>.</w:t>
            </w:r>
            <w:r w:rsidR="0097655B" w:rsidRPr="00386B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8E091F" w14:textId="464B9DED" w:rsidR="00B83852" w:rsidRPr="00386B78" w:rsidRDefault="00B83852" w:rsidP="00B83852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Brak zmian w zakresie ryzyka w stosunku do poprzedniego okresu sprawozdawczego</w:t>
            </w:r>
          </w:p>
        </w:tc>
      </w:tr>
    </w:tbl>
    <w:p w14:paraId="02BA7C40" w14:textId="77777777" w:rsidR="00CF2E64" w:rsidRPr="00386B7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6B7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6B78" w:rsidRPr="00386B78" w14:paraId="02809CFC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73D48B7" w14:textId="77777777" w:rsidR="0091332C" w:rsidRPr="00386B78" w:rsidRDefault="0091332C" w:rsidP="00640F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6B7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51B676E" w14:textId="77777777" w:rsidR="0091332C" w:rsidRPr="00386B78" w:rsidRDefault="0091332C" w:rsidP="00640F3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75BB45C" w14:textId="77777777" w:rsidR="0091332C" w:rsidRPr="00386B78" w:rsidRDefault="0091332C" w:rsidP="00640F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4231F9C" w14:textId="77777777" w:rsidR="0091332C" w:rsidRPr="00386B78" w:rsidRDefault="0091332C" w:rsidP="00640F3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86B78" w:rsidRPr="00386B78" w14:paraId="295DF3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B132606" w14:textId="77777777" w:rsidR="001517BA" w:rsidRPr="00386B78" w:rsidRDefault="001517BA" w:rsidP="00640F3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lastRenderedPageBreak/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14:paraId="48A669AE" w14:textId="77777777" w:rsidR="001517BA" w:rsidRPr="00386B78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6B7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3311D37" w14:textId="77777777" w:rsidR="001517BA" w:rsidRPr="00386B78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6B7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E3A9B1F" w14:textId="77777777" w:rsidR="001517BA" w:rsidRPr="00386B78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b w:val="0"/>
                <w:sz w:val="20"/>
                <w:szCs w:val="20"/>
              </w:rPr>
              <w:t>Przewiduje się, że utrzymanie i dalszy rozwój aplikacji w okresie trwałości projektu, będzie finansowane w ramach umów dotacji ministerialnych lub z innych środków budżetu państwa.</w:t>
            </w:r>
          </w:p>
        </w:tc>
      </w:tr>
      <w:tr w:rsidR="00386B78" w:rsidRPr="00386B78" w14:paraId="0A69FFC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45E6C38" w14:textId="77777777" w:rsidR="001517BA" w:rsidRPr="00386B78" w:rsidRDefault="001517BA" w:rsidP="00640F3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056A6009" w14:textId="77777777" w:rsidR="001517BA" w:rsidRPr="00386B78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6B7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F2FBE1" w14:textId="77777777" w:rsidR="001517BA" w:rsidRPr="00386B78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6B7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0B5D2EF" w14:textId="77777777" w:rsidR="001517BA" w:rsidRPr="00386B78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6B7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386B78" w:rsidRPr="00386B78" w14:paraId="286BD3E9" w14:textId="77777777" w:rsidTr="00C11005">
        <w:tc>
          <w:tcPr>
            <w:tcW w:w="3261" w:type="dxa"/>
            <w:shd w:val="clear" w:color="auto" w:fill="auto"/>
          </w:tcPr>
          <w:p w14:paraId="1F855C5E" w14:textId="77777777" w:rsidR="001517BA" w:rsidRPr="00386B78" w:rsidRDefault="001517BA" w:rsidP="00640F3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6B78">
              <w:rPr>
                <w:rFonts w:ascii="Arial" w:hAnsi="Arial" w:cs="Arial"/>
                <w:sz w:val="20"/>
                <w:lang w:eastAsia="pl-PL"/>
              </w:rPr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14:paraId="5A35400A" w14:textId="77777777" w:rsidR="001517BA" w:rsidRPr="00386B78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6B7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7E69AD2" w14:textId="77777777" w:rsidR="001517BA" w:rsidRPr="00386B78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6B7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4CE464C" w14:textId="77777777" w:rsidR="001517BA" w:rsidRPr="00386B78" w:rsidRDefault="001517BA" w:rsidP="00C11005">
            <w:pPr>
              <w:pStyle w:val="Legenda"/>
              <w:rPr>
                <w:rFonts w:ascii="Arial" w:eastAsia="Times New Roman" w:hAnsi="Arial" w:cs="Arial"/>
                <w:b w:val="0"/>
                <w:bCs w:val="0"/>
                <w:spacing w:val="-4"/>
                <w:kern w:val="0"/>
                <w:sz w:val="18"/>
                <w:szCs w:val="18"/>
                <w:lang w:eastAsia="pl-PL"/>
              </w:rPr>
            </w:pPr>
            <w:r w:rsidRPr="00386B78">
              <w:rPr>
                <w:rFonts w:ascii="Arial" w:eastAsia="Times New Roman" w:hAnsi="Arial" w:cs="Arial"/>
                <w:b w:val="0"/>
                <w:bCs w:val="0"/>
                <w:spacing w:val="-4"/>
                <w:kern w:val="0"/>
                <w:sz w:val="20"/>
                <w:szCs w:val="20"/>
                <w:lang w:eastAsia="pl-PL"/>
              </w:rPr>
              <w:t xml:space="preserve">Obowiązek </w:t>
            </w:r>
            <w:r w:rsidRPr="00386B78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t>regularnego dostarczania informacji przez przedsiębiorców został zapisany w Ustawie o zmianie ustawy o wspieraniu rozwoju usług i sieci telekomunikacyjnych oraz niektórych innych ustaw</w:t>
            </w:r>
          </w:p>
        </w:tc>
      </w:tr>
    </w:tbl>
    <w:p w14:paraId="79255A49" w14:textId="77777777" w:rsidR="00676068" w:rsidRPr="00386B78" w:rsidRDefault="00676068" w:rsidP="00676068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BAD66B0" w14:textId="290588A6" w:rsidR="001517BA" w:rsidRPr="00386B78" w:rsidRDefault="00805178" w:rsidP="001517B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386B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494DFF" w14:textId="77777777" w:rsidR="001517BA" w:rsidRPr="00386B78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386B78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dotyczy.</w:t>
      </w:r>
    </w:p>
    <w:p w14:paraId="5542043B" w14:textId="77777777" w:rsidR="001517BA" w:rsidRPr="00386B78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</w:p>
    <w:p w14:paraId="60A9280B" w14:textId="77777777" w:rsidR="00BB059E" w:rsidRPr="00386B7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386B7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6B78">
        <w:rPr>
          <w:rFonts w:ascii="Arial" w:hAnsi="Arial" w:cs="Arial"/>
          <w:b/>
        </w:rPr>
        <w:t xml:space="preserve"> </w:t>
      </w:r>
    </w:p>
    <w:p w14:paraId="54721B51" w14:textId="77777777" w:rsidR="001517BA" w:rsidRPr="00386B78" w:rsidRDefault="001517BA" w:rsidP="00C11005">
      <w:pPr>
        <w:pStyle w:val="Akapitzlist"/>
        <w:spacing w:before="360"/>
        <w:ind w:left="360"/>
        <w:rPr>
          <w:rFonts w:ascii="Arial" w:hAnsi="Arial" w:cs="Arial"/>
          <w:sz w:val="20"/>
          <w:szCs w:val="20"/>
        </w:rPr>
      </w:pPr>
      <w:r w:rsidRPr="00386B78">
        <w:rPr>
          <w:rFonts w:ascii="Arial" w:hAnsi="Arial" w:cs="Arial"/>
          <w:sz w:val="20"/>
          <w:szCs w:val="20"/>
        </w:rPr>
        <w:t xml:space="preserve">Rafał Pawlak, Instytut Łączności – Państwowy Instytut Badawczy, Warszawa </w:t>
      </w:r>
      <w:r w:rsidRPr="00386B78">
        <w:rPr>
          <w:rFonts w:ascii="Arial" w:hAnsi="Arial" w:cs="Arial"/>
          <w:sz w:val="20"/>
          <w:szCs w:val="20"/>
        </w:rPr>
        <w:br/>
        <w:t>tel. 22 51 28 258, r.pawlak@il</w:t>
      </w:r>
      <w:r w:rsidR="00C11005" w:rsidRPr="00386B78">
        <w:rPr>
          <w:rFonts w:ascii="Arial" w:hAnsi="Arial" w:cs="Arial"/>
          <w:sz w:val="20"/>
          <w:szCs w:val="20"/>
        </w:rPr>
        <w:t>-pib</w:t>
      </w:r>
      <w:r w:rsidRPr="00386B78">
        <w:rPr>
          <w:rFonts w:ascii="Arial" w:hAnsi="Arial" w:cs="Arial"/>
          <w:sz w:val="20"/>
          <w:szCs w:val="20"/>
        </w:rPr>
        <w:t xml:space="preserve">.pl  </w:t>
      </w:r>
    </w:p>
    <w:p w14:paraId="388ECCCA" w14:textId="77777777" w:rsidR="001517BA" w:rsidRPr="00386B78" w:rsidRDefault="001517BA" w:rsidP="001517B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59533D78" w14:textId="77777777" w:rsidR="00A92887" w:rsidRPr="00386B78" w:rsidRDefault="00A92887" w:rsidP="00A92887">
      <w:pPr>
        <w:spacing w:after="0"/>
        <w:jc w:val="both"/>
        <w:rPr>
          <w:rFonts w:ascii="Arial" w:hAnsi="Arial" w:cs="Arial"/>
        </w:rPr>
      </w:pPr>
    </w:p>
    <w:p w14:paraId="696A077F" w14:textId="77777777" w:rsidR="00A92887" w:rsidRPr="00386B78" w:rsidRDefault="00A92887" w:rsidP="00A92887">
      <w:pPr>
        <w:spacing w:after="0"/>
        <w:jc w:val="both"/>
        <w:rPr>
          <w:rFonts w:ascii="Arial" w:hAnsi="Arial" w:cs="Arial"/>
        </w:rPr>
      </w:pPr>
    </w:p>
    <w:p w14:paraId="23AE8A5A" w14:textId="77777777" w:rsidR="00A92887" w:rsidRPr="00386B78" w:rsidRDefault="001441D4" w:rsidP="00A92887">
      <w:pPr>
        <w:spacing w:after="0"/>
        <w:jc w:val="both"/>
        <w:rPr>
          <w:rFonts w:ascii="Arial" w:hAnsi="Arial" w:cs="Arial"/>
        </w:rPr>
      </w:pPr>
      <w:r w:rsidRPr="00386B78">
        <w:rPr>
          <w:rFonts w:ascii="Arial" w:hAnsi="Arial" w:cs="Arial"/>
        </w:rPr>
        <w:t>Załącznik:</w:t>
      </w:r>
      <w:r w:rsidR="00A92887" w:rsidRPr="00386B78">
        <w:rPr>
          <w:rFonts w:ascii="Arial" w:hAnsi="Arial" w:cs="Arial"/>
        </w:rPr>
        <w:t xml:space="preserve"> </w:t>
      </w:r>
    </w:p>
    <w:p w14:paraId="79FE51CB" w14:textId="77777777" w:rsidR="00A92887" w:rsidRPr="00386B78" w:rsidRDefault="00A92887" w:rsidP="00A92887">
      <w:pPr>
        <w:spacing w:after="0"/>
        <w:jc w:val="both"/>
        <w:rPr>
          <w:rFonts w:ascii="Arial" w:hAnsi="Arial" w:cs="Arial"/>
        </w:rPr>
      </w:pPr>
      <w:r w:rsidRPr="00386B78">
        <w:rPr>
          <w:rFonts w:ascii="Arial" w:hAnsi="Arial" w:cs="Arial"/>
        </w:rPr>
        <w:t>Wzór raportu z wymiarowania systemu informatycznego</w:t>
      </w:r>
    </w:p>
    <w:sectPr w:rsidR="00A92887" w:rsidRPr="00386B78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78FAE" w14:textId="77777777" w:rsidR="00847F12" w:rsidRDefault="00847F12" w:rsidP="00BB2420">
      <w:pPr>
        <w:spacing w:after="0" w:line="240" w:lineRule="auto"/>
      </w:pPr>
      <w:r>
        <w:separator/>
      </w:r>
    </w:p>
  </w:endnote>
  <w:endnote w:type="continuationSeparator" w:id="0">
    <w:p w14:paraId="58A2EE7B" w14:textId="77777777" w:rsidR="00847F12" w:rsidRDefault="00847F1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DC2148" w14:textId="23CFDF32" w:rsidR="00F51A36" w:rsidRDefault="00F51A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0A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14</w:t>
            </w:r>
          </w:p>
        </w:sdtContent>
      </w:sdt>
    </w:sdtContent>
  </w:sdt>
  <w:p w14:paraId="50F57935" w14:textId="77777777" w:rsidR="00F51A36" w:rsidRDefault="00F51A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60C83" w14:textId="77777777" w:rsidR="00847F12" w:rsidRDefault="00847F12" w:rsidP="00BB2420">
      <w:pPr>
        <w:spacing w:after="0" w:line="240" w:lineRule="auto"/>
      </w:pPr>
      <w:r>
        <w:separator/>
      </w:r>
    </w:p>
  </w:footnote>
  <w:footnote w:type="continuationSeparator" w:id="0">
    <w:p w14:paraId="662FC7ED" w14:textId="77777777" w:rsidR="00847F12" w:rsidRDefault="00847F12" w:rsidP="00BB2420">
      <w:pPr>
        <w:spacing w:after="0" w:line="240" w:lineRule="auto"/>
      </w:pPr>
      <w:r>
        <w:continuationSeparator/>
      </w:r>
    </w:p>
  </w:footnote>
  <w:footnote w:id="1">
    <w:p w14:paraId="1FA33D10" w14:textId="77777777" w:rsidR="00F51A36" w:rsidRDefault="00F51A3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D37E3CD" w14:textId="32481E55" w:rsidR="00F51A36" w:rsidRDefault="00F51A36" w:rsidP="008B3F3A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</w:t>
      </w:r>
      <w:r w:rsidR="00413C10">
        <w:t>finalnym</w:t>
      </w:r>
      <w:r>
        <w:t>.</w:t>
      </w:r>
    </w:p>
  </w:footnote>
  <w:footnote w:id="3">
    <w:p w14:paraId="546A5EAF" w14:textId="772CD71E" w:rsidR="00F51A36" w:rsidRDefault="00F51A36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</w:t>
      </w:r>
      <w:r w:rsidR="009D2EAD">
        <w:t>finalnym</w:t>
      </w:r>
      <w:r>
        <w:t>.</w:t>
      </w:r>
    </w:p>
  </w:footnote>
  <w:footnote w:id="4">
    <w:p w14:paraId="0FBF518B" w14:textId="1BD19040" w:rsidR="00F51A36" w:rsidRDefault="00F51A36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</w:t>
      </w:r>
      <w:r w:rsidR="009D2EAD">
        <w:t>finalnym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5276"/>
    <w:rsid w:val="00043737"/>
    <w:rsid w:val="00043DD9"/>
    <w:rsid w:val="00044D68"/>
    <w:rsid w:val="00047D9D"/>
    <w:rsid w:val="0006401B"/>
    <w:rsid w:val="0006403E"/>
    <w:rsid w:val="00064E03"/>
    <w:rsid w:val="00070663"/>
    <w:rsid w:val="00071880"/>
    <w:rsid w:val="000825F2"/>
    <w:rsid w:val="00084E5B"/>
    <w:rsid w:val="00087231"/>
    <w:rsid w:val="00094D75"/>
    <w:rsid w:val="00095944"/>
    <w:rsid w:val="000A1DFB"/>
    <w:rsid w:val="000A2F32"/>
    <w:rsid w:val="000A3938"/>
    <w:rsid w:val="000B059E"/>
    <w:rsid w:val="000B3E49"/>
    <w:rsid w:val="000E0060"/>
    <w:rsid w:val="000E0237"/>
    <w:rsid w:val="000E0AC8"/>
    <w:rsid w:val="000E1828"/>
    <w:rsid w:val="000E4BF8"/>
    <w:rsid w:val="000F20A9"/>
    <w:rsid w:val="000F307B"/>
    <w:rsid w:val="000F30B9"/>
    <w:rsid w:val="001024D0"/>
    <w:rsid w:val="0010613B"/>
    <w:rsid w:val="0011693F"/>
    <w:rsid w:val="00122388"/>
    <w:rsid w:val="00124C3D"/>
    <w:rsid w:val="001309CA"/>
    <w:rsid w:val="00134CE5"/>
    <w:rsid w:val="00141A92"/>
    <w:rsid w:val="001441D4"/>
    <w:rsid w:val="00145E84"/>
    <w:rsid w:val="0015102C"/>
    <w:rsid w:val="001517BA"/>
    <w:rsid w:val="00153381"/>
    <w:rsid w:val="0016013B"/>
    <w:rsid w:val="00176FBB"/>
    <w:rsid w:val="00180B72"/>
    <w:rsid w:val="00181E97"/>
    <w:rsid w:val="00182A08"/>
    <w:rsid w:val="00187800"/>
    <w:rsid w:val="001A2EF2"/>
    <w:rsid w:val="001A7737"/>
    <w:rsid w:val="001C2D74"/>
    <w:rsid w:val="001C42E7"/>
    <w:rsid w:val="001C7FAC"/>
    <w:rsid w:val="001D167C"/>
    <w:rsid w:val="001E0CAC"/>
    <w:rsid w:val="001E16A3"/>
    <w:rsid w:val="001E1DEA"/>
    <w:rsid w:val="001E7199"/>
    <w:rsid w:val="001F24A0"/>
    <w:rsid w:val="001F5F74"/>
    <w:rsid w:val="001F67EC"/>
    <w:rsid w:val="0020330A"/>
    <w:rsid w:val="0023038D"/>
    <w:rsid w:val="002356D0"/>
    <w:rsid w:val="00237279"/>
    <w:rsid w:val="00240D69"/>
    <w:rsid w:val="00241B5E"/>
    <w:rsid w:val="00252087"/>
    <w:rsid w:val="002573F1"/>
    <w:rsid w:val="00263392"/>
    <w:rsid w:val="0026474C"/>
    <w:rsid w:val="00265194"/>
    <w:rsid w:val="00275857"/>
    <w:rsid w:val="00276C00"/>
    <w:rsid w:val="002825F1"/>
    <w:rsid w:val="00293351"/>
    <w:rsid w:val="00294349"/>
    <w:rsid w:val="002A3C02"/>
    <w:rsid w:val="002A5452"/>
    <w:rsid w:val="002B072D"/>
    <w:rsid w:val="002B4889"/>
    <w:rsid w:val="002B50C0"/>
    <w:rsid w:val="002B6F21"/>
    <w:rsid w:val="002C4A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665A"/>
    <w:rsid w:val="003508E7"/>
    <w:rsid w:val="003542F1"/>
    <w:rsid w:val="00356A3E"/>
    <w:rsid w:val="003642B8"/>
    <w:rsid w:val="00377BF6"/>
    <w:rsid w:val="00386B78"/>
    <w:rsid w:val="00392919"/>
    <w:rsid w:val="00394DC3"/>
    <w:rsid w:val="00397184"/>
    <w:rsid w:val="003A4115"/>
    <w:rsid w:val="003A5C8E"/>
    <w:rsid w:val="003B5B7A"/>
    <w:rsid w:val="003C4C69"/>
    <w:rsid w:val="003C7325"/>
    <w:rsid w:val="003D5995"/>
    <w:rsid w:val="003D7DD0"/>
    <w:rsid w:val="003E3144"/>
    <w:rsid w:val="00405EA4"/>
    <w:rsid w:val="0041034F"/>
    <w:rsid w:val="004118A3"/>
    <w:rsid w:val="00413C10"/>
    <w:rsid w:val="00423A26"/>
    <w:rsid w:val="00425046"/>
    <w:rsid w:val="004350B8"/>
    <w:rsid w:val="00444AAB"/>
    <w:rsid w:val="00450089"/>
    <w:rsid w:val="004729D1"/>
    <w:rsid w:val="00490AAA"/>
    <w:rsid w:val="004A08B2"/>
    <w:rsid w:val="004C1D48"/>
    <w:rsid w:val="004C4F52"/>
    <w:rsid w:val="004D65CA"/>
    <w:rsid w:val="004F19BE"/>
    <w:rsid w:val="004F2315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69E1"/>
    <w:rsid w:val="00572A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F40"/>
    <w:rsid w:val="005D6E12"/>
    <w:rsid w:val="005E0ED8"/>
    <w:rsid w:val="005E6ABD"/>
    <w:rsid w:val="005F41FA"/>
    <w:rsid w:val="00600AE4"/>
    <w:rsid w:val="006054AA"/>
    <w:rsid w:val="006121D8"/>
    <w:rsid w:val="0062054D"/>
    <w:rsid w:val="006334BF"/>
    <w:rsid w:val="00635A54"/>
    <w:rsid w:val="00636AEC"/>
    <w:rsid w:val="00640F3A"/>
    <w:rsid w:val="00661A62"/>
    <w:rsid w:val="006645BE"/>
    <w:rsid w:val="00672EF0"/>
    <w:rsid w:val="006731D9"/>
    <w:rsid w:val="00676068"/>
    <w:rsid w:val="00681A76"/>
    <w:rsid w:val="006822BC"/>
    <w:rsid w:val="006948D3"/>
    <w:rsid w:val="006A60AA"/>
    <w:rsid w:val="006B034F"/>
    <w:rsid w:val="006B5117"/>
    <w:rsid w:val="006B62CB"/>
    <w:rsid w:val="006C6F08"/>
    <w:rsid w:val="006C78AE"/>
    <w:rsid w:val="006E0CFA"/>
    <w:rsid w:val="006E3969"/>
    <w:rsid w:val="006E6205"/>
    <w:rsid w:val="00701800"/>
    <w:rsid w:val="0071233A"/>
    <w:rsid w:val="00725708"/>
    <w:rsid w:val="00740A47"/>
    <w:rsid w:val="00746ABD"/>
    <w:rsid w:val="007600D9"/>
    <w:rsid w:val="0076258C"/>
    <w:rsid w:val="0076760B"/>
    <w:rsid w:val="00773D0B"/>
    <w:rsid w:val="0077418F"/>
    <w:rsid w:val="00775C44"/>
    <w:rsid w:val="00776802"/>
    <w:rsid w:val="0078594B"/>
    <w:rsid w:val="007924CE"/>
    <w:rsid w:val="007956BC"/>
    <w:rsid w:val="00795AFA"/>
    <w:rsid w:val="007A0EBF"/>
    <w:rsid w:val="007A31C8"/>
    <w:rsid w:val="007A4742"/>
    <w:rsid w:val="007B0251"/>
    <w:rsid w:val="007B5E08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627A"/>
    <w:rsid w:val="00803FBE"/>
    <w:rsid w:val="00805178"/>
    <w:rsid w:val="00806134"/>
    <w:rsid w:val="00826C7B"/>
    <w:rsid w:val="00830B70"/>
    <w:rsid w:val="00837893"/>
    <w:rsid w:val="00840749"/>
    <w:rsid w:val="00847F12"/>
    <w:rsid w:val="008651D9"/>
    <w:rsid w:val="0087452F"/>
    <w:rsid w:val="00875528"/>
    <w:rsid w:val="00884686"/>
    <w:rsid w:val="00884968"/>
    <w:rsid w:val="008A332F"/>
    <w:rsid w:val="008A52F6"/>
    <w:rsid w:val="008B3F3A"/>
    <w:rsid w:val="008C4BCD"/>
    <w:rsid w:val="008C6721"/>
    <w:rsid w:val="008D3826"/>
    <w:rsid w:val="008F2D9B"/>
    <w:rsid w:val="008F67EE"/>
    <w:rsid w:val="00907F6D"/>
    <w:rsid w:val="009110EE"/>
    <w:rsid w:val="00911190"/>
    <w:rsid w:val="0091332C"/>
    <w:rsid w:val="00924BCF"/>
    <w:rsid w:val="009256F2"/>
    <w:rsid w:val="00933BEC"/>
    <w:rsid w:val="009347B8"/>
    <w:rsid w:val="00936729"/>
    <w:rsid w:val="00941E37"/>
    <w:rsid w:val="0095183B"/>
    <w:rsid w:val="00952126"/>
    <w:rsid w:val="00952617"/>
    <w:rsid w:val="009545EF"/>
    <w:rsid w:val="009663A6"/>
    <w:rsid w:val="00967E05"/>
    <w:rsid w:val="00971A40"/>
    <w:rsid w:val="00971B3F"/>
    <w:rsid w:val="00973774"/>
    <w:rsid w:val="0097517F"/>
    <w:rsid w:val="00975E68"/>
    <w:rsid w:val="00976434"/>
    <w:rsid w:val="0097655B"/>
    <w:rsid w:val="00992EA3"/>
    <w:rsid w:val="009967CA"/>
    <w:rsid w:val="009A0D78"/>
    <w:rsid w:val="009A17FF"/>
    <w:rsid w:val="009A5581"/>
    <w:rsid w:val="009B4423"/>
    <w:rsid w:val="009C6140"/>
    <w:rsid w:val="009C626F"/>
    <w:rsid w:val="009D2EAD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99A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5016"/>
    <w:rsid w:val="00AE6068"/>
    <w:rsid w:val="00AF09B8"/>
    <w:rsid w:val="00AF567D"/>
    <w:rsid w:val="00AF7AF6"/>
    <w:rsid w:val="00B17709"/>
    <w:rsid w:val="00B22191"/>
    <w:rsid w:val="00B23828"/>
    <w:rsid w:val="00B27EE9"/>
    <w:rsid w:val="00B378F9"/>
    <w:rsid w:val="00B41415"/>
    <w:rsid w:val="00B440C3"/>
    <w:rsid w:val="00B46B7D"/>
    <w:rsid w:val="00B50560"/>
    <w:rsid w:val="00B5532F"/>
    <w:rsid w:val="00B64B3C"/>
    <w:rsid w:val="00B673C6"/>
    <w:rsid w:val="00B74859"/>
    <w:rsid w:val="00B83852"/>
    <w:rsid w:val="00B87D3D"/>
    <w:rsid w:val="00B91243"/>
    <w:rsid w:val="00BA3416"/>
    <w:rsid w:val="00BA481C"/>
    <w:rsid w:val="00BB059E"/>
    <w:rsid w:val="00BB08E2"/>
    <w:rsid w:val="00BB18FD"/>
    <w:rsid w:val="00BB2420"/>
    <w:rsid w:val="00BB49AC"/>
    <w:rsid w:val="00BB5ACE"/>
    <w:rsid w:val="00BC1BD2"/>
    <w:rsid w:val="00BC6BE4"/>
    <w:rsid w:val="00BC7162"/>
    <w:rsid w:val="00BE47CD"/>
    <w:rsid w:val="00BE5BF9"/>
    <w:rsid w:val="00C11005"/>
    <w:rsid w:val="00C1106C"/>
    <w:rsid w:val="00C22105"/>
    <w:rsid w:val="00C224F7"/>
    <w:rsid w:val="00C26361"/>
    <w:rsid w:val="00C302F1"/>
    <w:rsid w:val="00C3575F"/>
    <w:rsid w:val="00C42AEA"/>
    <w:rsid w:val="00C479AC"/>
    <w:rsid w:val="00C52440"/>
    <w:rsid w:val="00C57985"/>
    <w:rsid w:val="00C6751B"/>
    <w:rsid w:val="00C86F15"/>
    <w:rsid w:val="00CA516B"/>
    <w:rsid w:val="00CA63F0"/>
    <w:rsid w:val="00CC7E21"/>
    <w:rsid w:val="00CE6CD4"/>
    <w:rsid w:val="00CE74F9"/>
    <w:rsid w:val="00CE7777"/>
    <w:rsid w:val="00CF2E64"/>
    <w:rsid w:val="00CF7A5B"/>
    <w:rsid w:val="00D02F6D"/>
    <w:rsid w:val="00D22C21"/>
    <w:rsid w:val="00D25CFE"/>
    <w:rsid w:val="00D4607F"/>
    <w:rsid w:val="00D57025"/>
    <w:rsid w:val="00D57765"/>
    <w:rsid w:val="00D77F50"/>
    <w:rsid w:val="00D82EE4"/>
    <w:rsid w:val="00D859F4"/>
    <w:rsid w:val="00D85A52"/>
    <w:rsid w:val="00D86FEC"/>
    <w:rsid w:val="00DA34DF"/>
    <w:rsid w:val="00DA67B1"/>
    <w:rsid w:val="00DB69FD"/>
    <w:rsid w:val="00DC0A8A"/>
    <w:rsid w:val="00DC1705"/>
    <w:rsid w:val="00DC39A9"/>
    <w:rsid w:val="00DC4C79"/>
    <w:rsid w:val="00DC6DF5"/>
    <w:rsid w:val="00DE6249"/>
    <w:rsid w:val="00DE731D"/>
    <w:rsid w:val="00E0076D"/>
    <w:rsid w:val="00E11B44"/>
    <w:rsid w:val="00E15DEB"/>
    <w:rsid w:val="00E1688D"/>
    <w:rsid w:val="00E16EB5"/>
    <w:rsid w:val="00E203EB"/>
    <w:rsid w:val="00E35401"/>
    <w:rsid w:val="00E375DB"/>
    <w:rsid w:val="00E42938"/>
    <w:rsid w:val="00E43F79"/>
    <w:rsid w:val="00E44801"/>
    <w:rsid w:val="00E47508"/>
    <w:rsid w:val="00E55EB0"/>
    <w:rsid w:val="00E57BB7"/>
    <w:rsid w:val="00E61CB0"/>
    <w:rsid w:val="00E71256"/>
    <w:rsid w:val="00E71BCF"/>
    <w:rsid w:val="00E75C53"/>
    <w:rsid w:val="00E81A93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4807"/>
    <w:rsid w:val="00F25348"/>
    <w:rsid w:val="00F45506"/>
    <w:rsid w:val="00F51A36"/>
    <w:rsid w:val="00F5222C"/>
    <w:rsid w:val="00F55735"/>
    <w:rsid w:val="00F60062"/>
    <w:rsid w:val="00F60E85"/>
    <w:rsid w:val="00F613CC"/>
    <w:rsid w:val="00F76777"/>
    <w:rsid w:val="00F83F2F"/>
    <w:rsid w:val="00F86555"/>
    <w:rsid w:val="00F86C58"/>
    <w:rsid w:val="00F92FE9"/>
    <w:rsid w:val="00F97787"/>
    <w:rsid w:val="00FB2923"/>
    <w:rsid w:val="00FC30C7"/>
    <w:rsid w:val="00FC3B03"/>
    <w:rsid w:val="00FC78B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40F3A"/>
  </w:style>
  <w:style w:type="paragraph" w:customStyle="1" w:styleId="Default">
    <w:name w:val="Default"/>
    <w:rsid w:val="001517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DFF8F-EC8C-4B40-B861-A5DF92C1D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2953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2021-06-22T08:11:00Z</dcterms:created>
  <dcterms:modified xsi:type="dcterms:W3CDTF">2021-06-22T08:11:00Z</dcterms:modified>
</cp:coreProperties>
</file>